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0F28">
      <w:pPr>
        <w:divId w:val="693654042"/>
        <w:rPr>
          <w:rFonts w:eastAsia="Times New Roman"/>
        </w:rPr>
      </w:pPr>
      <w:r>
        <w:rPr>
          <w:rFonts w:eastAsia="Times New Roman"/>
        </w:rPr>
        <w:pict>
          <v:rect id="_x0000_i1025" style="width:0;height:3pt" o:hralign="center" o:hrstd="t" o:hrnoshade="t" o:hr="t" fillcolor="black" stroked="f"/>
        </w:pict>
      </w:r>
    </w:p>
    <w:p w:rsidR="00000000" w:rsidRDefault="00B30F28">
      <w:pPr>
        <w:divId w:val="693654042"/>
        <w:rPr>
          <w:rFonts w:eastAsia="Times New Roman"/>
        </w:rPr>
      </w:pPr>
      <w:r>
        <w:rPr>
          <w:rFonts w:eastAsia="Times New Roman"/>
        </w:rPr>
        <w:pict>
          <v:rect id="_x0000_i1026" style="width:0;height:.75pt" o:hralign="center" o:hrstd="t" o:hrnoshade="t" o:hr="t" fillcolor="black" stroked="f"/>
        </w:pict>
      </w:r>
    </w:p>
    <w:p w:rsidR="00000000" w:rsidRDefault="00B95558">
      <w:pPr>
        <w:divId w:val="1218276394"/>
        <w:rPr>
          <w:rFonts w:eastAsia="Times New Roman"/>
        </w:rPr>
      </w:pPr>
      <w:r>
        <w:rPr>
          <w:rFonts w:eastAsia="Times New Roman"/>
        </w:rPr>
        <w:t> </w:t>
      </w:r>
    </w:p>
    <w:p w:rsidR="00000000" w:rsidRDefault="00B95558">
      <w:pPr>
        <w:pStyle w:val="NormalWeb"/>
        <w:spacing w:before="0" w:beforeAutospacing="0" w:after="0" w:afterAutospacing="0" w:line="320" w:lineRule="atLeast"/>
        <w:jc w:val="center"/>
        <w:rPr>
          <w:sz w:val="28"/>
          <w:szCs w:val="28"/>
        </w:rPr>
      </w:pPr>
      <w:r>
        <w:rPr>
          <w:b/>
          <w:bCs/>
          <w:sz w:val="28"/>
          <w:szCs w:val="28"/>
        </w:rPr>
        <w:t>UNITED STATES</w:t>
      </w:r>
    </w:p>
    <w:p w:rsidR="00000000" w:rsidRDefault="00B95558">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B95558">
      <w:pPr>
        <w:pStyle w:val="NormalWeb"/>
        <w:spacing w:before="0" w:beforeAutospacing="0" w:after="0" w:afterAutospacing="0"/>
        <w:jc w:val="center"/>
      </w:pPr>
      <w:r>
        <w:rPr>
          <w:b/>
          <w:bCs/>
        </w:rPr>
        <w:t>Washington, D.C. 20549</w:t>
      </w:r>
    </w:p>
    <w:p w:rsidR="00000000" w:rsidRDefault="00B95558">
      <w:pPr>
        <w:pStyle w:val="NormalWeb"/>
        <w:spacing w:before="0" w:beforeAutospacing="0" w:after="0" w:afterAutospacing="0"/>
        <w:jc w:val="center"/>
      </w:pPr>
      <w:r>
        <w:t>———————</w:t>
      </w:r>
    </w:p>
    <w:p w:rsidR="00000000" w:rsidRDefault="00B95558">
      <w:pPr>
        <w:pStyle w:val="NormalWeb"/>
        <w:spacing w:before="0" w:beforeAutospacing="0" w:after="0" w:afterAutospacing="0" w:line="320" w:lineRule="atLeast"/>
        <w:jc w:val="center"/>
        <w:rPr>
          <w:sz w:val="28"/>
          <w:szCs w:val="28"/>
        </w:rPr>
      </w:pPr>
      <w:r>
        <w:rPr>
          <w:b/>
          <w:bCs/>
          <w:sz w:val="28"/>
          <w:szCs w:val="28"/>
        </w:rPr>
        <w:t>FORM 10-Q</w:t>
      </w:r>
    </w:p>
    <w:p w:rsidR="00000000" w:rsidRDefault="00B95558">
      <w:pPr>
        <w:pStyle w:val="NormalWeb"/>
        <w:spacing w:before="0" w:beforeAutospacing="0" w:after="0" w:afterAutospacing="0"/>
        <w:jc w:val="center"/>
      </w:pPr>
      <w:r>
        <w:t>———————</w:t>
      </w:r>
    </w:p>
    <w:p w:rsidR="00000000" w:rsidRDefault="00B95558">
      <w:pPr>
        <w:pStyle w:val="NormalWeb"/>
        <w:spacing w:before="0" w:beforeAutospacing="0" w:after="0" w:afterAutospacing="0"/>
        <w:jc w:val="center"/>
      </w:pPr>
      <w:r>
        <w:t>(Mark One)</w:t>
      </w:r>
    </w:p>
    <w:p w:rsidR="00000000" w:rsidRDefault="00B95558">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000000" w:rsidTr="009D695C">
        <w:trPr>
          <w:tblCellSpacing w:w="0" w:type="dxa"/>
          <w:jc w:val="center"/>
        </w:trPr>
        <w:tc>
          <w:tcPr>
            <w:tcW w:w="285" w:type="dxa"/>
            <w:vAlign w:val="center"/>
            <w:hideMark/>
          </w:tcPr>
          <w:p w:rsidR="00000000" w:rsidRDefault="00B95558">
            <w:pPr>
              <w:rPr>
                <w:rFonts w:eastAsia="Times New Roman"/>
                <w:sz w:val="1"/>
                <w:szCs w:val="2"/>
              </w:rPr>
            </w:pPr>
          </w:p>
        </w:tc>
        <w:tc>
          <w:tcPr>
            <w:tcW w:w="10515" w:type="dxa"/>
            <w:vAlign w:val="center"/>
            <w:hideMark/>
          </w:tcPr>
          <w:p w:rsidR="00000000" w:rsidRDefault="00B95558">
            <w:pPr>
              <w:rPr>
                <w:rFonts w:eastAsia="Times New Roman"/>
                <w:sz w:val="1"/>
                <w:szCs w:val="2"/>
              </w:rPr>
            </w:pPr>
          </w:p>
        </w:tc>
      </w:tr>
      <w:tr w:rsidR="00000000" w:rsidTr="009D695C">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000000" w:rsidRDefault="00B95558">
            <w:pPr>
              <w:pStyle w:val="NormalWeb"/>
              <w:spacing w:before="0" w:beforeAutospacing="0" w:after="0" w:afterAutospacing="0"/>
              <w:jc w:val="center"/>
              <w:rPr>
                <w:sz w:val="20"/>
                <w:szCs w:val="20"/>
              </w:rPr>
            </w:pPr>
            <w:r>
              <w:rPr>
                <w:b/>
                <w:bCs/>
                <w:sz w:val="20"/>
                <w:szCs w:val="20"/>
              </w:rPr>
              <w:t>X</w:t>
            </w:r>
          </w:p>
        </w:tc>
        <w:tc>
          <w:tcPr>
            <w:tcW w:w="10515" w:type="dxa"/>
            <w:hideMark/>
          </w:tcPr>
          <w:p w:rsidR="00000000" w:rsidRDefault="00B95558">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rsidTr="009D695C">
        <w:trPr>
          <w:tblCellSpacing w:w="0" w:type="dxa"/>
          <w:jc w:val="center"/>
        </w:trPr>
        <w:tc>
          <w:tcPr>
            <w:tcW w:w="285" w:type="dxa"/>
            <w:hideMark/>
          </w:tcPr>
          <w:p w:rsidR="00000000" w:rsidRDefault="00B95558">
            <w:pPr>
              <w:pStyle w:val="NormalWeb"/>
              <w:rPr>
                <w:sz w:val="20"/>
                <w:szCs w:val="20"/>
              </w:rPr>
            </w:pPr>
            <w:r>
              <w:rPr>
                <w:sz w:val="20"/>
                <w:szCs w:val="20"/>
              </w:rPr>
              <w:t> </w:t>
            </w:r>
          </w:p>
        </w:tc>
        <w:tc>
          <w:tcPr>
            <w:tcW w:w="10515" w:type="dxa"/>
            <w:hideMark/>
          </w:tcPr>
          <w:p w:rsidR="00000000" w:rsidRDefault="00B95558">
            <w:pPr>
              <w:pStyle w:val="NormalWeb"/>
              <w:spacing w:before="0" w:beforeAutospacing="0" w:after="0" w:afterAutospacing="0"/>
              <w:rPr>
                <w:sz w:val="20"/>
                <w:szCs w:val="20"/>
              </w:rPr>
            </w:pPr>
            <w:r>
              <w:rPr>
                <w:b/>
                <w:bCs/>
                <w:sz w:val="20"/>
                <w:szCs w:val="20"/>
              </w:rPr>
              <w:t> </w:t>
            </w:r>
          </w:p>
        </w:tc>
      </w:tr>
      <w:tr w:rsidR="00000000">
        <w:trPr>
          <w:tblCellSpacing w:w="0" w:type="dxa"/>
          <w:jc w:val="center"/>
        </w:trPr>
        <w:tc>
          <w:tcPr>
            <w:tcW w:w="10800" w:type="dxa"/>
            <w:gridSpan w:val="2"/>
            <w:hideMark/>
          </w:tcPr>
          <w:p w:rsidR="00000000" w:rsidRDefault="00B95558">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2012</w:t>
            </w:r>
          </w:p>
        </w:tc>
      </w:tr>
      <w:tr w:rsidR="00000000">
        <w:trPr>
          <w:tblCellSpacing w:w="0" w:type="dxa"/>
          <w:jc w:val="center"/>
        </w:trPr>
        <w:tc>
          <w:tcPr>
            <w:tcW w:w="10800" w:type="dxa"/>
            <w:gridSpan w:val="2"/>
            <w:hideMark/>
          </w:tcPr>
          <w:p w:rsidR="00000000" w:rsidRDefault="00B95558">
            <w:pPr>
              <w:pStyle w:val="NormalWeb"/>
              <w:spacing w:before="0" w:beforeAutospacing="0" w:after="0" w:afterAutospacing="0"/>
              <w:jc w:val="center"/>
              <w:rPr>
                <w:sz w:val="20"/>
                <w:szCs w:val="20"/>
              </w:rPr>
            </w:pPr>
            <w:r>
              <w:rPr>
                <w:sz w:val="20"/>
                <w:szCs w:val="20"/>
              </w:rPr>
              <w:t>Or</w:t>
            </w:r>
          </w:p>
        </w:tc>
      </w:tr>
      <w:tr w:rsidR="00000000" w:rsidTr="009D695C">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000000" w:rsidRDefault="00B95558">
            <w:pPr>
              <w:rPr>
                <w:rFonts w:eastAsia="Times New Roman"/>
                <w:sz w:val="20"/>
                <w:szCs w:val="20"/>
              </w:rPr>
            </w:pPr>
          </w:p>
        </w:tc>
        <w:tc>
          <w:tcPr>
            <w:tcW w:w="10515" w:type="dxa"/>
            <w:hideMark/>
          </w:tcPr>
          <w:p w:rsidR="00000000" w:rsidRDefault="00B95558">
            <w:pPr>
              <w:pStyle w:val="NormalWeb"/>
              <w:spacing w:before="0" w:beforeAutospacing="0" w:after="0" w:afterAutospacing="0"/>
              <w:rPr>
                <w:sz w:val="20"/>
                <w:szCs w:val="20"/>
              </w:rPr>
            </w:pPr>
            <w:r>
              <w:rPr>
                <w:b/>
                <w:bCs/>
                <w:sz w:val="20"/>
                <w:szCs w:val="20"/>
              </w:rPr>
              <w:t> TRANSITION REPORT PURSUANT TO SECTION 13 OR 15(d) OF THE SECURITIES EXCHANGE  </w:t>
            </w:r>
            <w:r>
              <w:rPr>
                <w:b/>
                <w:bCs/>
                <w:sz w:val="20"/>
                <w:szCs w:val="20"/>
              </w:rPr>
              <w:t>ACT OF 1934</w:t>
            </w:r>
          </w:p>
        </w:tc>
      </w:tr>
      <w:tr w:rsidR="00000000" w:rsidTr="009D695C">
        <w:trPr>
          <w:tblCellSpacing w:w="0" w:type="dxa"/>
          <w:jc w:val="center"/>
        </w:trPr>
        <w:tc>
          <w:tcPr>
            <w:tcW w:w="285" w:type="dxa"/>
            <w:hideMark/>
          </w:tcPr>
          <w:p w:rsidR="00000000" w:rsidRDefault="00B95558">
            <w:pPr>
              <w:pStyle w:val="NormalWeb"/>
              <w:rPr>
                <w:sz w:val="20"/>
                <w:szCs w:val="20"/>
              </w:rPr>
            </w:pPr>
            <w:r>
              <w:rPr>
                <w:sz w:val="20"/>
                <w:szCs w:val="20"/>
              </w:rPr>
              <w:t> </w:t>
            </w:r>
          </w:p>
        </w:tc>
        <w:tc>
          <w:tcPr>
            <w:tcW w:w="10515" w:type="dxa"/>
            <w:hideMark/>
          </w:tcPr>
          <w:p w:rsidR="00000000" w:rsidRDefault="00B95558">
            <w:pPr>
              <w:rPr>
                <w:rFonts w:eastAsia="Times New Roman"/>
                <w:sz w:val="20"/>
                <w:szCs w:val="20"/>
              </w:rPr>
            </w:pPr>
          </w:p>
        </w:tc>
      </w:tr>
      <w:tr w:rsidR="00000000">
        <w:trPr>
          <w:tblCellSpacing w:w="0" w:type="dxa"/>
          <w:jc w:val="center"/>
        </w:trPr>
        <w:tc>
          <w:tcPr>
            <w:tcW w:w="10800" w:type="dxa"/>
            <w:gridSpan w:val="2"/>
            <w:hideMark/>
          </w:tcPr>
          <w:p w:rsidR="00000000" w:rsidRDefault="00B95558">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B95558">
      <w:pPr>
        <w:pStyle w:val="NormalWeb"/>
        <w:spacing w:before="0" w:beforeAutospacing="0" w:after="0" w:afterAutospacing="0"/>
        <w:jc w:val="center"/>
      </w:pPr>
      <w:r>
        <w:t>———————</w:t>
      </w:r>
    </w:p>
    <w:p w:rsidR="00000000" w:rsidRDefault="00B95558">
      <w:pPr>
        <w:jc w:val="center"/>
        <w:rPr>
          <w:rFonts w:eastAsia="Times New Roman"/>
        </w:rPr>
      </w:pPr>
      <w:proofErr w:type="gramStart"/>
      <w:r>
        <w:rPr>
          <w:rStyle w:val="Strong"/>
          <w:rFonts w:eastAsia="Times New Roman"/>
          <w:sz w:val="32"/>
          <w:szCs w:val="32"/>
        </w:rPr>
        <w:t>ADVANCED OXYGEN TECHNOLOGIES, INC.</w:t>
      </w:r>
      <w:proofErr w:type="gramEnd"/>
    </w:p>
    <w:p w:rsidR="00000000" w:rsidRDefault="00B95558">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B95558">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000000">
        <w:trPr>
          <w:tblCellSpacing w:w="0" w:type="dxa"/>
          <w:jc w:val="center"/>
        </w:trPr>
        <w:tc>
          <w:tcPr>
            <w:tcW w:w="3600" w:type="dxa"/>
            <w:vAlign w:val="center"/>
            <w:hideMark/>
          </w:tcPr>
          <w:p w:rsidR="00000000" w:rsidRDefault="00B95558">
            <w:pPr>
              <w:rPr>
                <w:rFonts w:eastAsia="Times New Roman"/>
                <w:sz w:val="1"/>
                <w:szCs w:val="2"/>
              </w:rPr>
            </w:pPr>
          </w:p>
        </w:tc>
        <w:tc>
          <w:tcPr>
            <w:tcW w:w="3600" w:type="dxa"/>
            <w:vAlign w:val="center"/>
            <w:hideMark/>
          </w:tcPr>
          <w:p w:rsidR="00000000" w:rsidRDefault="00B95558">
            <w:pPr>
              <w:rPr>
                <w:rFonts w:eastAsia="Times New Roman"/>
                <w:sz w:val="1"/>
                <w:szCs w:val="2"/>
              </w:rPr>
            </w:pPr>
          </w:p>
        </w:tc>
        <w:tc>
          <w:tcPr>
            <w:tcW w:w="3585" w:type="dxa"/>
            <w:vAlign w:val="center"/>
            <w:hideMark/>
          </w:tcPr>
          <w:p w:rsidR="00000000" w:rsidRDefault="00B95558">
            <w:pPr>
              <w:rPr>
                <w:rFonts w:eastAsia="Times New Roman"/>
                <w:sz w:val="1"/>
                <w:szCs w:val="2"/>
              </w:rPr>
            </w:pPr>
          </w:p>
        </w:tc>
      </w:tr>
      <w:tr w:rsidR="00000000">
        <w:trPr>
          <w:tblCellSpacing w:w="0" w:type="dxa"/>
          <w:jc w:val="center"/>
        </w:trPr>
        <w:tc>
          <w:tcPr>
            <w:tcW w:w="3600" w:type="dxa"/>
            <w:hideMark/>
          </w:tcPr>
          <w:p w:rsidR="00000000" w:rsidRDefault="00B95558">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B95558">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B95558">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B95558">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000000" w:rsidRDefault="00B95558">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B95558">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B95558">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B95558">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B95558">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B95558">
      <w:pPr>
        <w:pStyle w:val="NormalWeb"/>
        <w:spacing w:before="0" w:beforeAutospacing="0" w:after="0" w:afterAutospacing="0"/>
        <w:jc w:val="center"/>
      </w:pPr>
    </w:p>
    <w:p w:rsidR="00000000" w:rsidRDefault="00B95558">
      <w:pPr>
        <w:pStyle w:val="NormalWeb"/>
        <w:spacing w:before="0" w:beforeAutospacing="0" w:after="0" w:afterAutospacing="0"/>
        <w:jc w:val="center"/>
      </w:pPr>
      <w:r>
        <w:rPr>
          <w:b/>
          <w:bCs/>
        </w:rPr>
        <w:t xml:space="preserve">C/O Crossfield, Inc., 653 VT Route 12A, PO Box 189, Randolph, VT 05060 </w:t>
      </w:r>
    </w:p>
    <w:p w:rsidR="00000000" w:rsidRDefault="00B95558">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B95558">
      <w:pPr>
        <w:pStyle w:val="NormalWeb"/>
        <w:spacing w:before="0" w:beforeAutospacing="0" w:after="0" w:afterAutospacing="0"/>
        <w:jc w:val="center"/>
      </w:pPr>
    </w:p>
    <w:p w:rsidR="00000000" w:rsidRDefault="00B95558">
      <w:pPr>
        <w:pStyle w:val="NormalWeb"/>
        <w:spacing w:before="0" w:beforeAutospacing="0" w:after="0" w:afterAutospacing="0"/>
        <w:jc w:val="center"/>
      </w:pPr>
      <w:r>
        <w:rPr>
          <w:b/>
          <w:bCs/>
        </w:rPr>
        <w:t>(212) 727-7085</w:t>
      </w:r>
    </w:p>
    <w:p w:rsidR="00000000" w:rsidRDefault="00B95558">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000000" w:rsidRDefault="00B95558">
      <w:pPr>
        <w:pStyle w:val="NormalWeb"/>
        <w:spacing w:before="89" w:beforeAutospacing="0" w:after="0" w:afterAutospacing="0"/>
        <w:jc w:val="center"/>
      </w:pPr>
      <w:r>
        <w:rPr>
          <w:b/>
          <w:bCs/>
        </w:rPr>
        <w:t>C/O Crossfield, Inc., 100 Maiden Lane, Suite 2003, New York, NY 10038</w:t>
      </w:r>
    </w:p>
    <w:p w:rsidR="00000000" w:rsidRDefault="00B95558">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B95558">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000000">
        <w:trPr>
          <w:tblCellSpacing w:w="0" w:type="dxa"/>
          <w:jc w:val="center"/>
        </w:trPr>
        <w:tc>
          <w:tcPr>
            <w:tcW w:w="3255" w:type="dxa"/>
            <w:vAlign w:val="center"/>
            <w:hideMark/>
          </w:tcPr>
          <w:p w:rsidR="00000000" w:rsidRDefault="00B95558">
            <w:pPr>
              <w:rPr>
                <w:rFonts w:eastAsia="Times New Roman"/>
                <w:sz w:val="1"/>
                <w:szCs w:val="2"/>
              </w:rPr>
            </w:pPr>
          </w:p>
        </w:tc>
        <w:tc>
          <w:tcPr>
            <w:tcW w:w="255" w:type="dxa"/>
            <w:vAlign w:val="center"/>
            <w:hideMark/>
          </w:tcPr>
          <w:p w:rsidR="00000000" w:rsidRDefault="00B95558">
            <w:pPr>
              <w:rPr>
                <w:rFonts w:eastAsia="Times New Roman"/>
                <w:sz w:val="1"/>
                <w:szCs w:val="2"/>
              </w:rPr>
            </w:pPr>
          </w:p>
        </w:tc>
        <w:tc>
          <w:tcPr>
            <w:tcW w:w="2940" w:type="dxa"/>
            <w:vAlign w:val="center"/>
            <w:hideMark/>
          </w:tcPr>
          <w:p w:rsidR="00000000" w:rsidRDefault="00B95558">
            <w:pPr>
              <w:rPr>
                <w:rFonts w:eastAsia="Times New Roman"/>
                <w:sz w:val="1"/>
                <w:szCs w:val="2"/>
              </w:rPr>
            </w:pPr>
          </w:p>
        </w:tc>
        <w:tc>
          <w:tcPr>
            <w:tcW w:w="270" w:type="dxa"/>
            <w:vAlign w:val="center"/>
            <w:hideMark/>
          </w:tcPr>
          <w:p w:rsidR="00000000" w:rsidRDefault="00B95558">
            <w:pPr>
              <w:rPr>
                <w:rFonts w:eastAsia="Times New Roman"/>
                <w:sz w:val="1"/>
                <w:szCs w:val="2"/>
              </w:rPr>
            </w:pPr>
          </w:p>
        </w:tc>
        <w:tc>
          <w:tcPr>
            <w:tcW w:w="2445" w:type="dxa"/>
            <w:vAlign w:val="center"/>
            <w:hideMark/>
          </w:tcPr>
          <w:p w:rsidR="00000000" w:rsidRDefault="00B95558">
            <w:pPr>
              <w:rPr>
                <w:rFonts w:eastAsia="Times New Roman"/>
                <w:sz w:val="1"/>
                <w:szCs w:val="2"/>
              </w:rPr>
            </w:pPr>
          </w:p>
        </w:tc>
        <w:tc>
          <w:tcPr>
            <w:tcW w:w="270" w:type="dxa"/>
            <w:vAlign w:val="center"/>
            <w:hideMark/>
          </w:tcPr>
          <w:p w:rsidR="00000000" w:rsidRDefault="00B95558">
            <w:pPr>
              <w:rPr>
                <w:rFonts w:eastAsia="Times New Roman"/>
                <w:sz w:val="1"/>
                <w:szCs w:val="2"/>
              </w:rPr>
            </w:pPr>
          </w:p>
        </w:tc>
        <w:tc>
          <w:tcPr>
            <w:tcW w:w="540" w:type="dxa"/>
            <w:vAlign w:val="center"/>
            <w:hideMark/>
          </w:tcPr>
          <w:p w:rsidR="00000000" w:rsidRDefault="00B95558">
            <w:pPr>
              <w:rPr>
                <w:rFonts w:eastAsia="Times New Roman"/>
                <w:sz w:val="1"/>
                <w:szCs w:val="2"/>
              </w:rPr>
            </w:pPr>
          </w:p>
        </w:tc>
        <w:tc>
          <w:tcPr>
            <w:tcW w:w="270" w:type="dxa"/>
            <w:vAlign w:val="center"/>
            <w:hideMark/>
          </w:tcPr>
          <w:p w:rsidR="00000000" w:rsidRDefault="00B95558">
            <w:pPr>
              <w:rPr>
                <w:rFonts w:eastAsia="Times New Roman"/>
                <w:sz w:val="1"/>
                <w:szCs w:val="2"/>
              </w:rPr>
            </w:pPr>
          </w:p>
        </w:tc>
        <w:tc>
          <w:tcPr>
            <w:tcW w:w="510" w:type="dxa"/>
            <w:vAlign w:val="center"/>
            <w:hideMark/>
          </w:tcPr>
          <w:p w:rsidR="00000000" w:rsidRDefault="00B95558">
            <w:pPr>
              <w:rPr>
                <w:rFonts w:eastAsia="Times New Roman"/>
                <w:sz w:val="1"/>
                <w:szCs w:val="2"/>
              </w:rPr>
            </w:pPr>
          </w:p>
        </w:tc>
      </w:tr>
      <w:tr w:rsidR="00000000">
        <w:trPr>
          <w:tblCellSpacing w:w="0" w:type="dxa"/>
          <w:jc w:val="center"/>
        </w:trPr>
        <w:tc>
          <w:tcPr>
            <w:tcW w:w="10800" w:type="dxa"/>
            <w:gridSpan w:val="9"/>
            <w:hideMark/>
          </w:tcPr>
          <w:p w:rsidR="00000000" w:rsidRDefault="00B95558">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000000">
        <w:trPr>
          <w:tblCellSpacing w:w="0" w:type="dxa"/>
          <w:jc w:val="center"/>
        </w:trPr>
        <w:tc>
          <w:tcPr>
            <w:tcW w:w="9180" w:type="dxa"/>
            <w:gridSpan w:val="5"/>
            <w:tcBorders>
              <w:right w:val="single" w:sz="4" w:space="0" w:color="000000"/>
            </w:tcBorders>
            <w:hideMark/>
          </w:tcPr>
          <w:p w:rsidR="00000000" w:rsidRDefault="00B95558">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000000" w:rsidRDefault="00B95558">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rPr>
                <w:sz w:val="20"/>
                <w:szCs w:val="20"/>
              </w:rPr>
            </w:pPr>
            <w:r>
              <w:rPr>
                <w:sz w:val="20"/>
                <w:szCs w:val="20"/>
              </w:rPr>
              <w:t> </w:t>
            </w:r>
          </w:p>
        </w:tc>
        <w:tc>
          <w:tcPr>
            <w:tcW w:w="510" w:type="dxa"/>
            <w:hideMark/>
          </w:tcPr>
          <w:p w:rsidR="00000000" w:rsidRDefault="00B95558">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10800" w:type="dxa"/>
            <w:gridSpan w:val="9"/>
            <w:hideMark/>
          </w:tcPr>
          <w:p w:rsidR="00000000" w:rsidRDefault="00B95558">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B95558">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w:t>
            </w:r>
            <w:r>
              <w:rPr>
                <w:sz w:val="20"/>
                <w:szCs w:val="20"/>
              </w:rPr>
              <w:t>” in Rule 12b-2 of the Exchange Act.</w:t>
            </w:r>
          </w:p>
        </w:tc>
      </w:tr>
      <w:tr w:rsidR="00000000">
        <w:trPr>
          <w:tblCellSpacing w:w="0" w:type="dxa"/>
          <w:jc w:val="center"/>
        </w:trPr>
        <w:tc>
          <w:tcPr>
            <w:tcW w:w="9180" w:type="dxa"/>
            <w:gridSpan w:val="5"/>
            <w:hideMark/>
          </w:tcPr>
          <w:p w:rsidR="00000000" w:rsidRDefault="00B95558">
            <w:pPr>
              <w:pStyle w:val="NormalWeb"/>
              <w:rPr>
                <w:sz w:val="20"/>
                <w:szCs w:val="20"/>
              </w:rPr>
            </w:pPr>
            <w:r>
              <w:rPr>
                <w:sz w:val="20"/>
                <w:szCs w:val="20"/>
              </w:rPr>
              <w:t> </w:t>
            </w:r>
          </w:p>
        </w:tc>
        <w:tc>
          <w:tcPr>
            <w:tcW w:w="1605" w:type="dxa"/>
            <w:gridSpan w:val="4"/>
            <w:hideMark/>
          </w:tcPr>
          <w:p w:rsidR="00000000" w:rsidRDefault="00B95558">
            <w:pPr>
              <w:pStyle w:val="NormalWeb"/>
              <w:rPr>
                <w:sz w:val="20"/>
                <w:szCs w:val="20"/>
              </w:rPr>
            </w:pPr>
            <w:r>
              <w:rPr>
                <w:sz w:val="20"/>
                <w:szCs w:val="20"/>
              </w:rPr>
              <w:t> </w:t>
            </w:r>
          </w:p>
        </w:tc>
      </w:tr>
      <w:tr w:rsidR="00000000">
        <w:trPr>
          <w:tblCellSpacing w:w="0" w:type="dxa"/>
          <w:jc w:val="center"/>
        </w:trPr>
        <w:tc>
          <w:tcPr>
            <w:tcW w:w="3255" w:type="dxa"/>
            <w:tcBorders>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000000" w:rsidRDefault="00B95558">
            <w:pPr>
              <w:pStyle w:val="NormalWeb"/>
              <w:rPr>
                <w:sz w:val="20"/>
                <w:szCs w:val="20"/>
              </w:rPr>
            </w:pPr>
            <w:r>
              <w:rPr>
                <w:sz w:val="20"/>
                <w:szCs w:val="20"/>
              </w:rPr>
              <w:t> </w:t>
            </w:r>
          </w:p>
        </w:tc>
        <w:tc>
          <w:tcPr>
            <w:tcW w:w="2940" w:type="dxa"/>
            <w:hideMark/>
          </w:tcPr>
          <w:p w:rsidR="00000000" w:rsidRDefault="00B95558">
            <w:pPr>
              <w:pStyle w:val="NormalWeb"/>
              <w:rPr>
                <w:sz w:val="20"/>
                <w:szCs w:val="20"/>
              </w:rPr>
            </w:pPr>
            <w:r>
              <w:rPr>
                <w:sz w:val="20"/>
                <w:szCs w:val="20"/>
              </w:rPr>
              <w:t> </w:t>
            </w:r>
          </w:p>
        </w:tc>
        <w:tc>
          <w:tcPr>
            <w:tcW w:w="270" w:type="dxa"/>
            <w:hideMark/>
          </w:tcPr>
          <w:p w:rsidR="00000000" w:rsidRDefault="00B95558">
            <w:pPr>
              <w:pStyle w:val="NormalWeb"/>
              <w:rPr>
                <w:sz w:val="20"/>
                <w:szCs w:val="20"/>
              </w:rPr>
            </w:pPr>
            <w:r>
              <w:rPr>
                <w:sz w:val="20"/>
                <w:szCs w:val="20"/>
              </w:rPr>
              <w:t> </w:t>
            </w:r>
          </w:p>
        </w:tc>
        <w:tc>
          <w:tcPr>
            <w:tcW w:w="3255" w:type="dxa"/>
            <w:gridSpan w:val="3"/>
            <w:tcBorders>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rPr>
                <w:sz w:val="20"/>
                <w:szCs w:val="20"/>
              </w:rPr>
            </w:pPr>
            <w:r>
              <w:rPr>
                <w:sz w:val="20"/>
                <w:szCs w:val="20"/>
              </w:rPr>
              <w:t> </w:t>
            </w:r>
          </w:p>
        </w:tc>
        <w:tc>
          <w:tcPr>
            <w:tcW w:w="510" w:type="dxa"/>
            <w:hideMark/>
          </w:tcPr>
          <w:p w:rsidR="00000000" w:rsidRDefault="00B95558">
            <w:pPr>
              <w:pStyle w:val="NormalWeb"/>
              <w:rPr>
                <w:sz w:val="20"/>
                <w:szCs w:val="20"/>
              </w:rPr>
            </w:pPr>
            <w:r>
              <w:rPr>
                <w:sz w:val="20"/>
                <w:szCs w:val="20"/>
              </w:rPr>
              <w:t> </w:t>
            </w:r>
          </w:p>
        </w:tc>
      </w:tr>
      <w:tr w:rsidR="00000000">
        <w:trPr>
          <w:tblCellSpacing w:w="0" w:type="dxa"/>
          <w:jc w:val="center"/>
        </w:trPr>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c>
          <w:tcPr>
            <w:tcW w:w="0" w:type="auto"/>
            <w:vAlign w:val="center"/>
            <w:hideMark/>
          </w:tcPr>
          <w:p w:rsidR="00000000" w:rsidRDefault="00B95558">
            <w:pPr>
              <w:rPr>
                <w:rFonts w:eastAsia="Times New Roman"/>
                <w:sz w:val="20"/>
                <w:szCs w:val="20"/>
              </w:rPr>
            </w:pPr>
          </w:p>
        </w:tc>
      </w:tr>
      <w:tr w:rsidR="00000000">
        <w:trPr>
          <w:tblCellSpacing w:w="0" w:type="dxa"/>
          <w:jc w:val="center"/>
        </w:trPr>
        <w:tc>
          <w:tcPr>
            <w:tcW w:w="3255" w:type="dxa"/>
            <w:tcBorders>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000000" w:rsidRDefault="00B95558">
            <w:pPr>
              <w:pStyle w:val="NormalWeb"/>
              <w:rPr>
                <w:sz w:val="20"/>
                <w:szCs w:val="20"/>
              </w:rPr>
            </w:pPr>
            <w:r>
              <w:rPr>
                <w:sz w:val="20"/>
                <w:szCs w:val="20"/>
              </w:rPr>
              <w:t> </w:t>
            </w:r>
          </w:p>
        </w:tc>
        <w:tc>
          <w:tcPr>
            <w:tcW w:w="2940" w:type="dxa"/>
            <w:hideMark/>
          </w:tcPr>
          <w:p w:rsidR="00000000" w:rsidRDefault="00B95558">
            <w:pPr>
              <w:pStyle w:val="NormalWeb"/>
              <w:rPr>
                <w:sz w:val="20"/>
                <w:szCs w:val="20"/>
              </w:rPr>
            </w:pPr>
            <w:r>
              <w:rPr>
                <w:sz w:val="20"/>
                <w:szCs w:val="20"/>
              </w:rPr>
              <w:t> </w:t>
            </w:r>
          </w:p>
        </w:tc>
        <w:tc>
          <w:tcPr>
            <w:tcW w:w="270" w:type="dxa"/>
            <w:hideMark/>
          </w:tcPr>
          <w:p w:rsidR="00000000" w:rsidRDefault="00B95558">
            <w:pPr>
              <w:pStyle w:val="NormalWeb"/>
              <w:rPr>
                <w:sz w:val="20"/>
                <w:szCs w:val="20"/>
              </w:rPr>
            </w:pPr>
            <w:r>
              <w:rPr>
                <w:sz w:val="20"/>
                <w:szCs w:val="20"/>
              </w:rPr>
              <w:t> </w:t>
            </w:r>
          </w:p>
        </w:tc>
        <w:tc>
          <w:tcPr>
            <w:tcW w:w="3255" w:type="dxa"/>
            <w:gridSpan w:val="3"/>
            <w:tcBorders>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X</w:t>
            </w:r>
          </w:p>
        </w:tc>
        <w:tc>
          <w:tcPr>
            <w:tcW w:w="510" w:type="dxa"/>
            <w:hideMark/>
          </w:tcPr>
          <w:p w:rsidR="00000000" w:rsidRDefault="00B95558">
            <w:pPr>
              <w:pStyle w:val="NormalWeb"/>
              <w:rPr>
                <w:sz w:val="20"/>
                <w:szCs w:val="20"/>
              </w:rPr>
            </w:pPr>
            <w:r>
              <w:rPr>
                <w:sz w:val="20"/>
                <w:szCs w:val="20"/>
              </w:rPr>
              <w:t> </w:t>
            </w:r>
          </w:p>
        </w:tc>
      </w:tr>
      <w:tr w:rsidR="00000000">
        <w:trPr>
          <w:tblCellSpacing w:w="0" w:type="dxa"/>
          <w:jc w:val="center"/>
        </w:trPr>
        <w:tc>
          <w:tcPr>
            <w:tcW w:w="9180" w:type="dxa"/>
            <w:gridSpan w:val="5"/>
            <w:hideMark/>
          </w:tcPr>
          <w:p w:rsidR="00000000" w:rsidRDefault="00B95558">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000000" w:rsidRDefault="00B95558">
            <w:pPr>
              <w:pStyle w:val="NormalWeb"/>
              <w:rPr>
                <w:sz w:val="20"/>
                <w:szCs w:val="20"/>
              </w:rPr>
            </w:pPr>
            <w:r>
              <w:rPr>
                <w:sz w:val="20"/>
                <w:szCs w:val="20"/>
              </w:rPr>
              <w:t> </w:t>
            </w:r>
          </w:p>
        </w:tc>
      </w:tr>
      <w:tr w:rsidR="00000000">
        <w:trPr>
          <w:tblCellSpacing w:w="0" w:type="dxa"/>
          <w:jc w:val="center"/>
        </w:trPr>
        <w:tc>
          <w:tcPr>
            <w:tcW w:w="9180" w:type="dxa"/>
            <w:gridSpan w:val="5"/>
            <w:tcBorders>
              <w:right w:val="single" w:sz="4" w:space="0" w:color="000000"/>
            </w:tcBorders>
            <w:hideMark/>
          </w:tcPr>
          <w:p w:rsidR="00000000" w:rsidRDefault="00B95558">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rPr>
                <w:sz w:val="20"/>
                <w:szCs w:val="20"/>
              </w:rPr>
            </w:pPr>
            <w:r>
              <w:rPr>
                <w:sz w:val="20"/>
                <w:szCs w:val="20"/>
              </w:rPr>
              <w:t> </w:t>
            </w:r>
          </w:p>
        </w:tc>
        <w:tc>
          <w:tcPr>
            <w:tcW w:w="540" w:type="dxa"/>
            <w:tcBorders>
              <w:right w:val="single" w:sz="4" w:space="0" w:color="000000"/>
            </w:tcBorders>
            <w:hideMark/>
          </w:tcPr>
          <w:p w:rsidR="00000000" w:rsidRDefault="00B95558">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000000" w:rsidRDefault="00B95558">
            <w:pPr>
              <w:pStyle w:val="NormalWeb"/>
              <w:spacing w:before="0" w:beforeAutospacing="0" w:after="0" w:afterAutospacing="0"/>
              <w:jc w:val="center"/>
              <w:rPr>
                <w:sz w:val="20"/>
                <w:szCs w:val="20"/>
              </w:rPr>
            </w:pPr>
            <w:r>
              <w:rPr>
                <w:sz w:val="20"/>
                <w:szCs w:val="20"/>
              </w:rPr>
              <w:t>X</w:t>
            </w:r>
          </w:p>
        </w:tc>
        <w:tc>
          <w:tcPr>
            <w:tcW w:w="510" w:type="dxa"/>
            <w:hideMark/>
          </w:tcPr>
          <w:p w:rsidR="00000000" w:rsidRDefault="00B95558">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9180" w:type="dxa"/>
            <w:gridSpan w:val="5"/>
            <w:hideMark/>
          </w:tcPr>
          <w:p w:rsidR="00000000" w:rsidRDefault="00B95558">
            <w:pPr>
              <w:pStyle w:val="NormalWeb"/>
              <w:rPr>
                <w:sz w:val="20"/>
                <w:szCs w:val="20"/>
              </w:rPr>
            </w:pPr>
            <w:r>
              <w:rPr>
                <w:sz w:val="20"/>
                <w:szCs w:val="20"/>
              </w:rPr>
              <w:t> </w:t>
            </w:r>
          </w:p>
        </w:tc>
        <w:tc>
          <w:tcPr>
            <w:tcW w:w="1605" w:type="dxa"/>
            <w:gridSpan w:val="4"/>
            <w:hideMark/>
          </w:tcPr>
          <w:p w:rsidR="00000000" w:rsidRDefault="00B95558">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B95558">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000000">
        <w:trPr>
          <w:tblCellSpacing w:w="0" w:type="dxa"/>
          <w:jc w:val="center"/>
        </w:trPr>
        <w:tc>
          <w:tcPr>
            <w:tcW w:w="10800" w:type="dxa"/>
            <w:gridSpan w:val="9"/>
            <w:hideMark/>
          </w:tcPr>
          <w:p w:rsidR="00000000" w:rsidRDefault="00B95558">
            <w:pPr>
              <w:pStyle w:val="NormalWeb"/>
              <w:spacing w:before="0" w:beforeAutospacing="0" w:after="0" w:afterAutospacing="0"/>
              <w:rPr>
                <w:sz w:val="20"/>
                <w:szCs w:val="20"/>
              </w:rPr>
            </w:pPr>
            <w:r>
              <w:rPr>
                <w:sz w:val="20"/>
                <w:szCs w:val="20"/>
              </w:rPr>
              <w:t>As of February 6, 2013, there were 46,973,585 issued shares and 45,853,585 outstanding shares of Advanced Oxygen Tech</w:t>
            </w:r>
            <w:r>
              <w:rPr>
                <w:sz w:val="20"/>
                <w:szCs w:val="20"/>
              </w:rPr>
              <w:t>nologies, Inc. common stock, $0.01 par value.</w:t>
            </w:r>
          </w:p>
        </w:tc>
      </w:tr>
      <w:tr w:rsidR="00000000">
        <w:trPr>
          <w:tblCellSpacing w:w="0" w:type="dxa"/>
          <w:jc w:val="center"/>
        </w:trPr>
        <w:tc>
          <w:tcPr>
            <w:tcW w:w="10800" w:type="dxa"/>
            <w:gridSpan w:val="9"/>
            <w:hideMark/>
          </w:tcPr>
          <w:p w:rsidR="00000000" w:rsidRDefault="00B95558">
            <w:pPr>
              <w:pStyle w:val="NormalWeb"/>
              <w:rPr>
                <w:sz w:val="20"/>
                <w:szCs w:val="20"/>
              </w:rPr>
            </w:pPr>
            <w:r>
              <w:rPr>
                <w:sz w:val="20"/>
                <w:szCs w:val="20"/>
              </w:rPr>
              <w:t> </w:t>
            </w:r>
          </w:p>
        </w:tc>
      </w:tr>
    </w:tbl>
    <w:p w:rsidR="00000000" w:rsidRDefault="00B30F28">
      <w:pPr>
        <w:rPr>
          <w:rFonts w:eastAsia="Times New Roman"/>
        </w:rPr>
      </w:pPr>
      <w:r>
        <w:rPr>
          <w:rFonts w:eastAsia="Times New Roman"/>
        </w:rPr>
        <w:pict>
          <v:rect id="_x0000_i1027" style="width:0;height:.75pt" o:hralign="center" o:hrstd="t" o:hrnoshade="t" o:hr="t" fillcolor="black" stroked="f"/>
        </w:pict>
      </w:r>
    </w:p>
    <w:p w:rsidR="00000000" w:rsidRDefault="00B30F28">
      <w:pPr>
        <w:rPr>
          <w:rFonts w:eastAsia="Times New Roman"/>
        </w:rPr>
      </w:pPr>
      <w:r>
        <w:rPr>
          <w:rFonts w:eastAsia="Times New Roman"/>
        </w:rPr>
        <w:pict>
          <v:rect id="_x0000_i1028" style="width:0;height:3pt" o:hralign="center" o:hrstd="t" o:hrnoshade="t" o:hr="t" fillcolor="black" stroked="f"/>
        </w:pict>
      </w:r>
    </w:p>
    <w:p w:rsidR="00000000" w:rsidRDefault="00B95558">
      <w:pPr>
        <w:pStyle w:val="NormalWeb"/>
        <w:jc w:val="center"/>
      </w:pPr>
      <w:proofErr w:type="gramStart"/>
      <w:r>
        <w:rPr>
          <w:b/>
          <w:bCs/>
        </w:rPr>
        <w:lastRenderedPageBreak/>
        <w:t>ADVANCED OXYGEN TECHNOLOGIES, INC.</w:t>
      </w:r>
      <w:proofErr w:type="gramEnd"/>
    </w:p>
    <w:p w:rsidR="00000000" w:rsidRDefault="00B95558">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000000">
        <w:trPr>
          <w:tblCellSpacing w:w="0" w:type="dxa"/>
          <w:jc w:val="center"/>
        </w:trPr>
        <w:tc>
          <w:tcPr>
            <w:tcW w:w="100" w:type="pct"/>
            <w:shd w:val="clear" w:color="auto" w:fill="CCFFCC"/>
            <w:vAlign w:val="center"/>
            <w:hideMark/>
          </w:tcPr>
          <w:p w:rsidR="00000000" w:rsidRDefault="00B95558">
            <w:pPr>
              <w:rPr>
                <w:rFonts w:eastAsia="Times New Roman"/>
              </w:rPr>
            </w:pPr>
          </w:p>
        </w:tc>
        <w:tc>
          <w:tcPr>
            <w:tcW w:w="100" w:type="pct"/>
            <w:shd w:val="clear" w:color="auto" w:fill="CCFFCC"/>
            <w:vAlign w:val="center"/>
            <w:hideMark/>
          </w:tcPr>
          <w:p w:rsidR="00000000" w:rsidRDefault="00B95558">
            <w:pPr>
              <w:rPr>
                <w:rFonts w:eastAsia="Times New Roman"/>
              </w:rPr>
            </w:pPr>
          </w:p>
        </w:tc>
        <w:tc>
          <w:tcPr>
            <w:tcW w:w="0" w:type="auto"/>
            <w:gridSpan w:val="3"/>
            <w:shd w:val="clear" w:color="auto" w:fill="CCFFCC"/>
            <w:vAlign w:val="center"/>
            <w:hideMark/>
          </w:tcPr>
          <w:p w:rsidR="00000000" w:rsidRDefault="00B95558">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B95558">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B95558">
            <w:pPr>
              <w:jc w:val="right"/>
              <w:rPr>
                <w:rFonts w:eastAsia="Times New Roman"/>
              </w:rPr>
            </w:pPr>
          </w:p>
        </w:tc>
        <w:tc>
          <w:tcPr>
            <w:tcW w:w="300" w:type="pct"/>
            <w:shd w:val="clear" w:color="auto" w:fill="FFFFFF"/>
            <w:vAlign w:val="center"/>
            <w:hideMark/>
          </w:tcPr>
          <w:p w:rsidR="00000000" w:rsidRDefault="00B95558">
            <w:pPr>
              <w:rPr>
                <w:rFonts w:eastAsia="Times New Roman"/>
              </w:rPr>
            </w:pP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r>
              <w:rPr>
                <w:rFonts w:eastAsia="Times New Roman"/>
                <w:sz w:val="20"/>
                <w:szCs w:val="20"/>
              </w:rPr>
              <w:t>Unaudited consolidated Balance Sheet as of December 31, 2012, June 30, 2012 and June 30, 2011</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shd w:val="clear" w:color="auto" w:fill="CCFFCC"/>
            <w:vAlign w:val="center"/>
            <w:hideMark/>
          </w:tcPr>
          <w:p w:rsidR="00000000" w:rsidRDefault="00B95558">
            <w:pPr>
              <w:jc w:val="center"/>
              <w:rPr>
                <w:rFonts w:eastAsia="Times New Roman"/>
              </w:rPr>
            </w:pPr>
          </w:p>
        </w:tc>
        <w:tc>
          <w:tcPr>
            <w:tcW w:w="0" w:type="auto"/>
            <w:shd w:val="clear" w:color="auto" w:fill="CCFFCC"/>
            <w:vAlign w:val="center"/>
            <w:hideMark/>
          </w:tcPr>
          <w:p w:rsidR="00000000" w:rsidRDefault="00B95558">
            <w:pPr>
              <w:rPr>
                <w:rFonts w:eastAsia="Times New Roman"/>
              </w:rPr>
            </w:pPr>
            <w:r>
              <w:rPr>
                <w:rFonts w:eastAsia="Times New Roman"/>
                <w:sz w:val="20"/>
                <w:szCs w:val="20"/>
              </w:rPr>
              <w:t>Unaudited Consolidated Statement of Operations and Changes in Accumulated Deficit for the three months and Six months ended December 31, 2012 and December 31, 2011</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r>
              <w:rPr>
                <w:rFonts w:eastAsia="Times New Roman"/>
                <w:sz w:val="20"/>
                <w:szCs w:val="20"/>
              </w:rPr>
              <w:t xml:space="preserve">Unaudited Consolidated Statement of Changes in Stockholders’ </w:t>
            </w:r>
            <w:r>
              <w:rPr>
                <w:rFonts w:eastAsia="Times New Roman"/>
                <w:sz w:val="20"/>
                <w:szCs w:val="20"/>
              </w:rPr>
              <w:t>Equity and (Capital Deficiency) for the three months ended December 31, 2012 and December 31, 2011</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rPr>
                <w:rFonts w:eastAsia="Times New Roman"/>
              </w:rPr>
            </w:pPr>
            <w:r>
              <w:rPr>
                <w:rFonts w:eastAsia="Times New Roman"/>
                <w:sz w:val="20"/>
                <w:szCs w:val="20"/>
              </w:rPr>
              <w:t>Unaudited Consolidated Statement of Cash Flow for the three months and six months ended December 31, 2012 and December 31, 2011</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gridSpan w:val="2"/>
            <w:shd w:val="clear" w:color="auto" w:fill="FFFFFF"/>
            <w:vAlign w:val="center"/>
            <w:hideMark/>
          </w:tcPr>
          <w:p w:rsidR="00000000" w:rsidRDefault="00B95558">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B95558">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gridSpan w:val="2"/>
            <w:shd w:val="clear" w:color="auto" w:fill="FFFFFF"/>
            <w:vAlign w:val="center"/>
            <w:hideMark/>
          </w:tcPr>
          <w:p w:rsidR="00000000" w:rsidRDefault="00B95558">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gridSpan w:val="2"/>
            <w:shd w:val="clear" w:color="auto" w:fill="FFFFFF"/>
            <w:vAlign w:val="center"/>
            <w:hideMark/>
          </w:tcPr>
          <w:p w:rsidR="00000000" w:rsidRDefault="00B95558">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gridSpan w:val="2"/>
            <w:shd w:val="clear" w:color="auto" w:fill="FFFFFF"/>
            <w:vAlign w:val="center"/>
            <w:hideMark/>
          </w:tcPr>
          <w:p w:rsidR="00000000" w:rsidRDefault="00B95558">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FFCC"/>
            <w:vAlign w:val="center"/>
            <w:hideMark/>
          </w:tcPr>
          <w:p w:rsidR="00000000" w:rsidRDefault="00B95558">
            <w:pPr>
              <w:rPr>
                <w:rFonts w:eastAsia="Times New Roman"/>
              </w:rPr>
            </w:pPr>
            <w:r>
              <w:rPr>
                <w:rFonts w:eastAsia="Times New Roman"/>
                <w:sz w:val="20"/>
                <w:szCs w:val="20"/>
              </w:rPr>
              <w:t>Signature</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B95558">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FFCC"/>
            <w:vAlign w:val="center"/>
            <w:hideMark/>
          </w:tcPr>
          <w:p w:rsidR="00000000" w:rsidRDefault="00B95558">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EX 32</w:t>
            </w:r>
          </w:p>
        </w:tc>
      </w:tr>
      <w:tr w:rsidR="00000000">
        <w:trPr>
          <w:tblCellSpacing w:w="0" w:type="dxa"/>
          <w:jc w:val="center"/>
        </w:trPr>
        <w:tc>
          <w:tcPr>
            <w:tcW w:w="0" w:type="auto"/>
            <w:shd w:val="clear" w:color="auto" w:fill="FFFFFF"/>
            <w:vAlign w:val="center"/>
            <w:hideMark/>
          </w:tcPr>
          <w:p w:rsidR="00000000" w:rsidRDefault="00B95558">
            <w:pPr>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r>
              <w:rPr>
                <w:rFonts w:eastAsia="Times New Roman"/>
                <w:sz w:val="20"/>
                <w:szCs w:val="20"/>
              </w:rPr>
              <w:t> </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rPr>
                <w:rFonts w:eastAsia="Times New Roman"/>
              </w:rPr>
            </w:pPr>
            <w:r>
              <w:rPr>
                <w:rFonts w:eastAsia="Times New Roman"/>
                <w:sz w:val="20"/>
                <w:szCs w:val="20"/>
              </w:rPr>
              <w:t> </w:t>
            </w:r>
          </w:p>
        </w:tc>
      </w:tr>
    </w:tbl>
    <w:p w:rsidR="00000000" w:rsidRDefault="00B30F28">
      <w:pPr>
        <w:rPr>
          <w:rFonts w:eastAsia="Times New Roman"/>
        </w:rPr>
      </w:pPr>
      <w:r>
        <w:rPr>
          <w:rFonts w:eastAsia="Times New Roman"/>
        </w:rPr>
        <w:pict>
          <v:rect id="_x0000_i1029" style="width:0;height:3pt" o:hralign="center" o:hrstd="t" o:hrnoshade="t" o:hr="t" fillcolor="black" stroked="f"/>
        </w:pict>
      </w:r>
    </w:p>
    <w:p w:rsidR="00000000" w:rsidRPr="009D695C" w:rsidRDefault="009D695C" w:rsidP="009D695C">
      <w:pPr>
        <w:rPr>
          <w:b/>
          <w:bCs/>
          <w:sz w:val="20"/>
          <w:szCs w:val="20"/>
        </w:rPr>
      </w:pPr>
      <w:r>
        <w:rPr>
          <w:b/>
          <w:bCs/>
          <w:sz w:val="20"/>
          <w:szCs w:val="20"/>
        </w:rPr>
        <w:br w:type="page"/>
      </w:r>
      <w:r w:rsidR="00B95558">
        <w:rPr>
          <w:b/>
          <w:bCs/>
          <w:sz w:val="20"/>
          <w:szCs w:val="20"/>
        </w:rPr>
        <w:lastRenderedPageBreak/>
        <w:t xml:space="preserve">PART 1: FINANCIAL INFORMATION </w:t>
      </w:r>
    </w:p>
    <w:p w:rsidR="00000000" w:rsidRDefault="00B95558">
      <w:pPr>
        <w:divId w:val="662052125"/>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w:t>
      </w:r>
      <w:r>
        <w:rPr>
          <w:rFonts w:eastAsia="Times New Roman"/>
          <w:sz w:val="20"/>
          <w:szCs w:val="20"/>
        </w:rPr>
        <w:t xml:space="preserve">the three months ending December 31, 2012 (unaudited). </w:t>
      </w:r>
    </w:p>
    <w:tbl>
      <w:tblPr>
        <w:tblW w:w="4500" w:type="pct"/>
        <w:tblCellSpacing w:w="0" w:type="dxa"/>
        <w:tblCellMar>
          <w:left w:w="0" w:type="dxa"/>
          <w:right w:w="0" w:type="dxa"/>
        </w:tblCellMar>
        <w:tblLook w:val="04A0"/>
      </w:tblPr>
      <w:tblGrid>
        <w:gridCol w:w="5656"/>
        <w:gridCol w:w="1355"/>
        <w:gridCol w:w="1355"/>
        <w:gridCol w:w="1354"/>
      </w:tblGrid>
      <w:tr w:rsidR="00000000">
        <w:trPr>
          <w:divId w:val="662052125"/>
          <w:tblCellSpacing w:w="0" w:type="dxa"/>
        </w:trPr>
        <w:tc>
          <w:tcPr>
            <w:tcW w:w="0" w:type="auto"/>
            <w:gridSpan w:val="4"/>
            <w:shd w:val="clear" w:color="auto" w:fill="CCFFCC"/>
            <w:vAlign w:val="bottom"/>
            <w:hideMark/>
          </w:tcPr>
          <w:p w:rsidR="00000000" w:rsidRDefault="00B95558">
            <w:pPr>
              <w:jc w:val="center"/>
              <w:rPr>
                <w:rFonts w:eastAsia="Times New Roman"/>
              </w:rPr>
            </w:pPr>
            <w:r>
              <w:rPr>
                <w:rFonts w:eastAsia="Times New Roman"/>
                <w:b/>
                <w:bCs/>
                <w:sz w:val="20"/>
                <w:szCs w:val="20"/>
              </w:rPr>
              <w:t> ADVANCED OXYGEN TECHNOLOGIES, INC.</w:t>
            </w:r>
            <w:r>
              <w:rPr>
                <w:rFonts w:eastAsia="Times New Roman"/>
              </w:rPr>
              <w:t xml:space="preserve"> </w:t>
            </w:r>
          </w:p>
          <w:p w:rsidR="00000000" w:rsidRDefault="00B95558">
            <w:pPr>
              <w:pStyle w:val="NormalWeb"/>
              <w:jc w:val="center"/>
            </w:pPr>
            <w:r>
              <w:rPr>
                <w:b/>
                <w:bCs/>
                <w:sz w:val="20"/>
                <w:szCs w:val="20"/>
              </w:rPr>
              <w:t>AND SUBSIDIARY</w:t>
            </w:r>
          </w:p>
          <w:p w:rsidR="00000000" w:rsidRDefault="00B95558">
            <w:pPr>
              <w:pStyle w:val="NormalWeb"/>
              <w:jc w:val="center"/>
            </w:pPr>
            <w:r>
              <w:rPr>
                <w:b/>
                <w:bCs/>
                <w:sz w:val="20"/>
                <w:szCs w:val="20"/>
              </w:rPr>
              <w:t>CONSOLATED BALANCE SHEETS</w:t>
            </w:r>
          </w:p>
        </w:tc>
      </w:tr>
      <w:tr w:rsidR="00000000" w:rsidTr="009D695C">
        <w:trPr>
          <w:divId w:val="662052125"/>
          <w:tblCellSpacing w:w="0" w:type="dxa"/>
        </w:trPr>
        <w:tc>
          <w:tcPr>
            <w:tcW w:w="2910" w:type="pct"/>
            <w:shd w:val="clear" w:color="auto" w:fill="FFFFFF"/>
            <w:vAlign w:val="bottom"/>
            <w:hideMark/>
          </w:tcPr>
          <w:p w:rsidR="00000000" w:rsidRDefault="00B95558">
            <w:pPr>
              <w:rPr>
                <w:rFonts w:eastAsia="Times New Roman"/>
              </w:rPr>
            </w:pPr>
          </w:p>
        </w:tc>
        <w:tc>
          <w:tcPr>
            <w:tcW w:w="697" w:type="pct"/>
            <w:shd w:val="clear" w:color="auto" w:fill="FFFFFF"/>
            <w:vAlign w:val="bottom"/>
            <w:hideMark/>
          </w:tcPr>
          <w:p w:rsidR="00000000" w:rsidRDefault="00B95558">
            <w:pPr>
              <w:jc w:val="center"/>
              <w:rPr>
                <w:rFonts w:eastAsia="Times New Roman"/>
              </w:rPr>
            </w:pPr>
            <w:r>
              <w:rPr>
                <w:rFonts w:eastAsia="Times New Roman"/>
                <w:b/>
                <w:bCs/>
                <w:sz w:val="20"/>
                <w:szCs w:val="20"/>
              </w:rPr>
              <w:t xml:space="preserve">Unaudited </w:t>
            </w:r>
          </w:p>
          <w:p w:rsidR="00000000" w:rsidRDefault="00B95558">
            <w:pPr>
              <w:pStyle w:val="NormalWeb"/>
              <w:jc w:val="center"/>
            </w:pPr>
            <w:r>
              <w:rPr>
                <w:b/>
                <w:bCs/>
                <w:sz w:val="20"/>
                <w:szCs w:val="20"/>
              </w:rPr>
              <w:t>as of December 31,</w:t>
            </w:r>
          </w:p>
        </w:tc>
        <w:tc>
          <w:tcPr>
            <w:tcW w:w="0" w:type="auto"/>
            <w:gridSpan w:val="2"/>
            <w:shd w:val="clear" w:color="auto" w:fill="FFFFFF"/>
            <w:vAlign w:val="bottom"/>
            <w:hideMark/>
          </w:tcPr>
          <w:p w:rsidR="00000000" w:rsidRDefault="00B95558">
            <w:pPr>
              <w:jc w:val="center"/>
              <w:rPr>
                <w:rFonts w:eastAsia="Times New Roman"/>
              </w:rPr>
            </w:pPr>
            <w:r>
              <w:rPr>
                <w:rFonts w:eastAsia="Times New Roman"/>
                <w:b/>
                <w:bCs/>
                <w:sz w:val="20"/>
                <w:szCs w:val="20"/>
              </w:rPr>
              <w:t>Audited</w:t>
            </w:r>
            <w:r>
              <w:rPr>
                <w:rFonts w:eastAsia="Times New Roman"/>
              </w:rPr>
              <w:t xml:space="preserve"> </w:t>
            </w:r>
          </w:p>
          <w:p w:rsidR="00000000" w:rsidRDefault="00B95558">
            <w:pPr>
              <w:pStyle w:val="NormalWeb"/>
              <w:jc w:val="center"/>
            </w:pPr>
            <w:r>
              <w:rPr>
                <w:b/>
                <w:bCs/>
                <w:sz w:val="20"/>
                <w:szCs w:val="20"/>
              </w:rPr>
              <w:t>as of June 30,</w:t>
            </w:r>
          </w:p>
        </w:tc>
      </w:tr>
      <w:tr w:rsidR="00000000" w:rsidTr="009D695C">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ASSETS</w:t>
            </w:r>
          </w:p>
        </w:tc>
        <w:tc>
          <w:tcPr>
            <w:tcW w:w="697" w:type="pct"/>
            <w:shd w:val="clear" w:color="auto" w:fill="CCFFCC"/>
            <w:vAlign w:val="bottom"/>
            <w:hideMark/>
          </w:tcPr>
          <w:p w:rsidR="00000000" w:rsidRDefault="00B95558">
            <w:pPr>
              <w:jc w:val="center"/>
              <w:rPr>
                <w:rFonts w:eastAsia="Times New Roman"/>
              </w:rPr>
            </w:pPr>
            <w:r>
              <w:rPr>
                <w:rFonts w:eastAsia="Times New Roman"/>
                <w:b/>
                <w:bCs/>
                <w:sz w:val="20"/>
                <w:szCs w:val="20"/>
              </w:rPr>
              <w:t>2012  </w:t>
            </w:r>
          </w:p>
          <w:p w:rsidR="00000000" w:rsidRDefault="00B30F28">
            <w:pPr>
              <w:jc w:val="center"/>
              <w:rPr>
                <w:rFonts w:eastAsia="Times New Roman"/>
              </w:rPr>
            </w:pPr>
            <w:r>
              <w:rPr>
                <w:rFonts w:eastAsia="Times New Roman"/>
              </w:rPr>
              <w:pict>
                <v:rect id="_x0000_i1030" style="width:0;height:1.5pt" o:hralign="center" o:hrstd="t" o:hr="t" fillcolor="#aca899" stroked="f"/>
              </w:pict>
            </w:r>
          </w:p>
        </w:tc>
        <w:tc>
          <w:tcPr>
            <w:tcW w:w="697" w:type="pct"/>
            <w:shd w:val="clear" w:color="auto" w:fill="CCFFCC"/>
            <w:vAlign w:val="bottom"/>
            <w:hideMark/>
          </w:tcPr>
          <w:p w:rsidR="00000000" w:rsidRDefault="00B95558">
            <w:pPr>
              <w:jc w:val="center"/>
              <w:rPr>
                <w:rFonts w:eastAsia="Times New Roman"/>
              </w:rPr>
            </w:pPr>
            <w:r>
              <w:rPr>
                <w:rFonts w:eastAsia="Times New Roman"/>
                <w:b/>
                <w:bCs/>
                <w:sz w:val="20"/>
                <w:szCs w:val="20"/>
              </w:rPr>
              <w:t>2012  </w:t>
            </w:r>
          </w:p>
          <w:p w:rsidR="00000000" w:rsidRDefault="00B30F28">
            <w:pPr>
              <w:jc w:val="center"/>
              <w:rPr>
                <w:rFonts w:eastAsia="Times New Roman"/>
              </w:rPr>
            </w:pPr>
            <w:r>
              <w:rPr>
                <w:rFonts w:eastAsia="Times New Roman"/>
              </w:rPr>
              <w:pict>
                <v:rect id="_x0000_i1031" style="width:0;height:1.5pt" o:hralign="center" o:hrstd="t" o:hr="t" fillcolor="#aca899" stroked="f"/>
              </w:pict>
            </w:r>
          </w:p>
        </w:tc>
        <w:tc>
          <w:tcPr>
            <w:tcW w:w="697" w:type="pct"/>
            <w:shd w:val="clear" w:color="auto" w:fill="CCFFCC"/>
            <w:vAlign w:val="bottom"/>
            <w:hideMark/>
          </w:tcPr>
          <w:p w:rsidR="00000000" w:rsidRDefault="00B95558">
            <w:pPr>
              <w:jc w:val="center"/>
              <w:rPr>
                <w:rFonts w:eastAsia="Times New Roman"/>
              </w:rPr>
            </w:pPr>
            <w:r>
              <w:rPr>
                <w:rFonts w:eastAsia="Times New Roman"/>
                <w:b/>
                <w:bCs/>
                <w:sz w:val="20"/>
                <w:szCs w:val="20"/>
              </w:rPr>
              <w:t>2011  </w:t>
            </w:r>
          </w:p>
          <w:p w:rsidR="00000000" w:rsidRDefault="00B30F28">
            <w:pPr>
              <w:jc w:val="center"/>
              <w:rPr>
                <w:rFonts w:eastAsia="Times New Roman"/>
              </w:rPr>
            </w:pPr>
            <w:r>
              <w:rPr>
                <w:rFonts w:eastAsia="Times New Roman"/>
              </w:rPr>
              <w:pict>
                <v:rect id="_x0000_i1032" style="width:0;height:1.5pt" o:hralign="center" o:hrstd="t" o:hr="t" fillcolor="#aca899" stroked="f"/>
              </w:pic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CURRENT ASSETS</w:t>
            </w:r>
          </w:p>
        </w:tc>
        <w:tc>
          <w:tcPr>
            <w:tcW w:w="0" w:type="auto"/>
            <w:shd w:val="clear" w:color="auto" w:fill="CCFFCC"/>
            <w:vAlign w:val="bottom"/>
            <w:hideMark/>
          </w:tcPr>
          <w:p w:rsidR="00000000" w:rsidRDefault="00B95558">
            <w:pPr>
              <w:jc w:val="center"/>
              <w:rPr>
                <w:rFonts w:eastAsia="Times New Roman"/>
              </w:rPr>
            </w:pPr>
          </w:p>
        </w:tc>
        <w:tc>
          <w:tcPr>
            <w:tcW w:w="0" w:type="auto"/>
            <w:shd w:val="clear" w:color="auto" w:fill="CCFFCC"/>
            <w:vAlign w:val="bottom"/>
            <w:hideMark/>
          </w:tcPr>
          <w:p w:rsidR="00000000" w:rsidRDefault="00B95558">
            <w:pPr>
              <w:jc w:val="center"/>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Cash</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2,277</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24,410</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xml:space="preserve">   </w:t>
            </w:r>
            <w:r>
              <w:rPr>
                <w:rFonts w:eastAsia="Times New Roman"/>
                <w:sz w:val="20"/>
                <w:szCs w:val="20"/>
              </w:rPr>
              <w:t>Accounts Receivable, Related Party</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7,547</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Total Current Assets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2,277</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31,957</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FIXED ASSETS</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Land and buildings</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622,642</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b/>
                <w:bCs/>
                <w:sz w:val="20"/>
                <w:szCs w:val="20"/>
              </w:rPr>
              <w:t>TOTAL ASSETS</w:t>
            </w:r>
          </w:p>
        </w:tc>
        <w:tc>
          <w:tcPr>
            <w:tcW w:w="0" w:type="auto"/>
            <w:shd w:val="clear" w:color="auto" w:fill="FFFFFF"/>
            <w:vAlign w:val="bottom"/>
            <w:hideMark/>
          </w:tcPr>
          <w:p w:rsidR="00000000" w:rsidRDefault="00B95558">
            <w:pPr>
              <w:jc w:val="right"/>
              <w:rPr>
                <w:rFonts w:eastAsia="Times New Roman"/>
              </w:rPr>
            </w:pPr>
            <w:r>
              <w:rPr>
                <w:rFonts w:eastAsia="Times New Roman"/>
                <w:b/>
                <w:bCs/>
                <w:sz w:val="20"/>
                <w:szCs w:val="20"/>
              </w:rPr>
              <w:t>$    561,599</w:t>
            </w:r>
          </w:p>
        </w:tc>
        <w:tc>
          <w:tcPr>
            <w:tcW w:w="0" w:type="auto"/>
            <w:shd w:val="clear" w:color="auto" w:fill="FFFFFF"/>
            <w:vAlign w:val="bottom"/>
            <w:hideMark/>
          </w:tcPr>
          <w:p w:rsidR="00000000" w:rsidRDefault="00B95558">
            <w:pPr>
              <w:jc w:val="right"/>
              <w:rPr>
                <w:rFonts w:eastAsia="Times New Roman"/>
              </w:rPr>
            </w:pPr>
            <w:r>
              <w:rPr>
                <w:rFonts w:eastAsia="Times New Roman"/>
                <w:b/>
                <w:bCs/>
                <w:sz w:val="20"/>
                <w:szCs w:val="20"/>
              </w:rPr>
              <w:t>$    559,322</w:t>
            </w:r>
          </w:p>
        </w:tc>
        <w:tc>
          <w:tcPr>
            <w:tcW w:w="0" w:type="auto"/>
            <w:shd w:val="clear" w:color="auto" w:fill="FFFFFF"/>
            <w:vAlign w:val="bottom"/>
            <w:hideMark/>
          </w:tcPr>
          <w:p w:rsidR="00000000" w:rsidRDefault="00B95558">
            <w:pPr>
              <w:jc w:val="right"/>
              <w:rPr>
                <w:rFonts w:eastAsia="Times New Roman"/>
              </w:rPr>
            </w:pPr>
            <w:r>
              <w:rPr>
                <w:rFonts w:eastAsia="Times New Roman"/>
                <w:b/>
                <w:bCs/>
                <w:sz w:val="20"/>
                <w:szCs w:val="20"/>
              </w:rPr>
              <w:t>$    654,599</w:t>
            </w:r>
          </w:p>
        </w:tc>
      </w:tr>
      <w:tr w:rsidR="00000000">
        <w:trPr>
          <w:divId w:val="662052125"/>
          <w:tblCellSpacing w:w="0" w:type="dxa"/>
        </w:trPr>
        <w:tc>
          <w:tcPr>
            <w:tcW w:w="0" w:type="auto"/>
            <w:shd w:val="clear" w:color="auto" w:fill="CCFFCC"/>
            <w:vAlign w:val="bottom"/>
            <w:hideMark/>
          </w:tcPr>
          <w:p w:rsidR="00000000" w:rsidRDefault="00B95558">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bl>
    <w:p w:rsidR="009D695C" w:rsidRDefault="009D695C">
      <w:pPr>
        <w:divId w:val="662052125"/>
      </w:pPr>
      <w:r>
        <w:br w:type="page"/>
      </w:r>
    </w:p>
    <w:tbl>
      <w:tblPr>
        <w:tblW w:w="4500" w:type="pct"/>
        <w:tblCellSpacing w:w="0" w:type="dxa"/>
        <w:tblCellMar>
          <w:left w:w="0" w:type="dxa"/>
          <w:right w:w="0" w:type="dxa"/>
        </w:tblCellMar>
        <w:tblLook w:val="04A0"/>
      </w:tblPr>
      <w:tblGrid>
        <w:gridCol w:w="5658"/>
        <w:gridCol w:w="1354"/>
        <w:gridCol w:w="1354"/>
        <w:gridCol w:w="1354"/>
      </w:tblGrid>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b/>
                <w:bCs/>
                <w:sz w:val="20"/>
                <w:szCs w:val="20"/>
              </w:rPr>
              <w:lastRenderedPageBreak/>
              <w:t>            LIABILITIES AND STOCKHOLDERS' DEFICIENCY             </w:t>
            </w:r>
            <w:r>
              <w:rPr>
                <w:rFonts w:eastAsia="Times New Roman"/>
                <w:b/>
                <w:bCs/>
                <w:sz w:val="20"/>
                <w:szCs w:val="20"/>
              </w:rPr>
              <w:t> </w:t>
            </w: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CURRENT LIABILITIES</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Accounts payable</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16,459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9,547</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9,425</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Current Bank Liability</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232</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7,925</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Note Payable, Affiliate</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3,390</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Note Payable</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122,726</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136,285</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165,976</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Payroll and sales taxes payable</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70,748</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67,682</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93,105</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Prepaid Rental Revenues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1,294</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10,874</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Total current liabilities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217,052</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225,549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287,305</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Long Term Debt, subsidiary</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50,111</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54,469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69,820</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Due to affiliate</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42,243</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40,268</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38,793</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Total Long Term Debt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92,354</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94,737</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108,613</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Total Liabilities</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309,406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320,286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395,919</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STOCKHOLDERS' DEFICIENCY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rHeight w:val="300"/>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Convertible preferred stock, Series 2, par value $0.01; authorized  </w:t>
            </w:r>
            <w:r>
              <w:rPr>
                <w:rFonts w:eastAsia="Times New Roman"/>
                <w:sz w:val="20"/>
                <w:szCs w:val="20"/>
              </w:rPr>
              <w:t>10,000,000 shares; issued and outstanding 5,000 shares liquidating preference $25,000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50</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16,700</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Convertible preferred stock, Series 4; issued and outstanding,</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Convertible preferred stock, Series 5; issued, 1 share</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xml:space="preserve">   </w:t>
            </w:r>
            <w:r>
              <w:rPr>
                <w:rFonts w:eastAsia="Times New Roman"/>
                <w:sz w:val="20"/>
                <w:szCs w:val="20"/>
              </w:rPr>
              <w:t>Common stock, par value $0.01; authorized, 90,000,000 shares; issued 46,973,585 shares</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469,736</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Additional paid-in capital</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20,497,769</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Accumulated deficit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(20,724,778)</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(20,737,935)</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(20,718,292)</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Less treasury stock, at cost</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1,670,000 shares of convertible preferred   stock, Series 3</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(7,284)</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1,120,000 shares of common stock</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  </w:t>
            </w:r>
            <w:r>
              <w:rPr>
                <w:rFonts w:eastAsia="Times New Roman"/>
                <w:b/>
                <w:bCs/>
                <w:sz w:val="20"/>
                <w:szCs w:val="20"/>
              </w:rPr>
              <w:t>TOTAL SHAREHOLDERS EQUITY</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252,193</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239,036</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258,679</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  TOTAL LIABILITIES AND SHAREHOLDERS EQUITY</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  561,599</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  559,322</w:t>
            </w:r>
          </w:p>
        </w:tc>
        <w:tc>
          <w:tcPr>
            <w:tcW w:w="0" w:type="auto"/>
            <w:shd w:val="clear" w:color="auto" w:fill="CCFFCC"/>
            <w:vAlign w:val="bottom"/>
            <w:hideMark/>
          </w:tcPr>
          <w:p w:rsidR="00000000" w:rsidRDefault="00B95558">
            <w:pPr>
              <w:jc w:val="right"/>
              <w:rPr>
                <w:rFonts w:eastAsia="Times New Roman"/>
              </w:rPr>
            </w:pPr>
            <w:r>
              <w:rPr>
                <w:rFonts w:eastAsia="Times New Roman"/>
                <w:b/>
                <w:bCs/>
                <w:sz w:val="20"/>
                <w:szCs w:val="20"/>
              </w:rPr>
              <w:t>$   654,598</w:t>
            </w:r>
          </w:p>
        </w:tc>
      </w:tr>
      <w:tr w:rsidR="00000000">
        <w:trPr>
          <w:divId w:val="662052125"/>
          <w:tblCellSpacing w:w="0" w:type="dxa"/>
        </w:trPr>
        <w:tc>
          <w:tcPr>
            <w:tcW w:w="0" w:type="auto"/>
            <w:shd w:val="clear" w:color="auto" w:fill="FFFFFF"/>
            <w:vAlign w:val="bottom"/>
            <w:hideMark/>
          </w:tcPr>
          <w:p w:rsidR="00000000" w:rsidRDefault="00B95558">
            <w:pPr>
              <w:rPr>
                <w:rFonts w:eastAsia="Times New Roman"/>
              </w:rPr>
            </w:pP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divId w:val="662052125"/>
          <w:tblCellSpacing w:w="0" w:type="dxa"/>
        </w:trPr>
        <w:tc>
          <w:tcPr>
            <w:tcW w:w="0" w:type="auto"/>
            <w:gridSpan w:val="4"/>
            <w:shd w:val="clear" w:color="auto" w:fill="CCFFCC"/>
            <w:vAlign w:val="bottom"/>
            <w:hideMark/>
          </w:tcPr>
          <w:p w:rsidR="00000000" w:rsidRDefault="00B95558">
            <w:pPr>
              <w:jc w:val="center"/>
              <w:rPr>
                <w:rFonts w:eastAsia="Times New Roman"/>
              </w:rPr>
            </w:pPr>
            <w:r>
              <w:rPr>
                <w:rFonts w:eastAsia="Times New Roman"/>
                <w:b/>
                <w:bCs/>
                <w:sz w:val="20"/>
                <w:szCs w:val="20"/>
              </w:rPr>
              <w:t>See accompanying notes to financial statements.</w:t>
            </w:r>
          </w:p>
        </w:tc>
      </w:tr>
    </w:tbl>
    <w:p w:rsidR="00000000" w:rsidRDefault="00B95558">
      <w:pPr>
        <w:pStyle w:val="NormalWeb"/>
        <w:divId w:val="662052125"/>
      </w:pPr>
      <w:hyperlink w:anchor="toc" w:history="1">
        <w:r>
          <w:rPr>
            <w:rStyle w:val="Hyperlink"/>
            <w:b/>
            <w:bCs/>
            <w:sz w:val="20"/>
            <w:szCs w:val="20"/>
          </w:rPr>
          <w:t>Return to Table of Contents</w:t>
        </w:r>
      </w:hyperlink>
    </w:p>
    <w:p w:rsidR="00000000" w:rsidRDefault="00B30F28">
      <w:pPr>
        <w:rPr>
          <w:rFonts w:eastAsia="Times New Roman"/>
        </w:rPr>
      </w:pPr>
      <w:r>
        <w:rPr>
          <w:rFonts w:eastAsia="Times New Roman"/>
        </w:rPr>
        <w:pict>
          <v:rect id="_x0000_i1033" style="width:0;height:3pt" o:hralign="center" o:hrstd="t" o:hrnoshade="t" o:hr="t" fillcolor="black" stroked="f"/>
        </w:pict>
      </w:r>
    </w:p>
    <w:p w:rsidR="009D695C" w:rsidRDefault="009D695C">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4438"/>
        <w:gridCol w:w="1064"/>
        <w:gridCol w:w="1064"/>
        <w:gridCol w:w="1064"/>
        <w:gridCol w:w="1064"/>
        <w:gridCol w:w="1080"/>
      </w:tblGrid>
      <w:tr w:rsidR="00000000">
        <w:trPr>
          <w:tblCellSpacing w:w="15" w:type="dxa"/>
        </w:trPr>
        <w:tc>
          <w:tcPr>
            <w:tcW w:w="0" w:type="auto"/>
            <w:gridSpan w:val="5"/>
            <w:shd w:val="clear" w:color="auto" w:fill="CCFFCC"/>
            <w:hideMark/>
          </w:tcPr>
          <w:p w:rsidR="00000000" w:rsidRDefault="00B95558">
            <w:pPr>
              <w:pStyle w:val="NormalWeb"/>
              <w:jc w:val="center"/>
            </w:pPr>
            <w:r>
              <w:rPr>
                <w:b/>
                <w:bCs/>
                <w:sz w:val="20"/>
                <w:szCs w:val="20"/>
              </w:rPr>
              <w:lastRenderedPageBreak/>
              <w:t>ADVANCED OXYGEN TECHNOLOGIES, INC.</w:t>
            </w:r>
          </w:p>
        </w:tc>
        <w:tc>
          <w:tcPr>
            <w:tcW w:w="0" w:type="auto"/>
            <w:shd w:val="clear" w:color="auto" w:fill="CCFFCC"/>
            <w:hideMark/>
          </w:tcPr>
          <w:p w:rsidR="00000000" w:rsidRDefault="00B95558">
            <w:pPr>
              <w:rPr>
                <w:rFonts w:eastAsia="Times New Roman"/>
              </w:rPr>
            </w:pPr>
          </w:p>
        </w:tc>
      </w:tr>
      <w:tr w:rsidR="00000000">
        <w:trPr>
          <w:tblCellSpacing w:w="15" w:type="dxa"/>
        </w:trPr>
        <w:tc>
          <w:tcPr>
            <w:tcW w:w="0" w:type="auto"/>
            <w:gridSpan w:val="5"/>
            <w:shd w:val="clear" w:color="auto" w:fill="FFFFFF"/>
            <w:hideMark/>
          </w:tcPr>
          <w:p w:rsidR="00000000" w:rsidRDefault="00B95558">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000000" w:rsidRDefault="00B95558">
            <w:pPr>
              <w:rPr>
                <w:rFonts w:eastAsia="Times New Roman"/>
              </w:rPr>
            </w:pPr>
          </w:p>
        </w:tc>
      </w:tr>
      <w:tr w:rsidR="00000000" w:rsidTr="009D695C">
        <w:trPr>
          <w:tblCellSpacing w:w="15" w:type="dxa"/>
        </w:trPr>
        <w:tc>
          <w:tcPr>
            <w:tcW w:w="2248" w:type="pct"/>
            <w:shd w:val="clear" w:color="auto" w:fill="CCFFCC"/>
            <w:hideMark/>
          </w:tcPr>
          <w:p w:rsidR="00000000" w:rsidRDefault="00B95558">
            <w:pPr>
              <w:rPr>
                <w:rFonts w:eastAsia="Times New Roman"/>
              </w:rPr>
            </w:pPr>
          </w:p>
        </w:tc>
        <w:tc>
          <w:tcPr>
            <w:tcW w:w="529" w:type="pct"/>
            <w:shd w:val="clear" w:color="auto" w:fill="CCFFCC"/>
            <w:hideMark/>
          </w:tcPr>
          <w:p w:rsidR="00000000" w:rsidRDefault="00B95558">
            <w:pPr>
              <w:rPr>
                <w:rFonts w:eastAsia="Times New Roman"/>
              </w:rPr>
            </w:pPr>
          </w:p>
        </w:tc>
        <w:tc>
          <w:tcPr>
            <w:tcW w:w="529" w:type="pct"/>
            <w:shd w:val="clear" w:color="auto" w:fill="CCFFCC"/>
            <w:hideMark/>
          </w:tcPr>
          <w:p w:rsidR="00000000" w:rsidRDefault="00B95558">
            <w:pPr>
              <w:rPr>
                <w:rFonts w:eastAsia="Times New Roman"/>
              </w:rPr>
            </w:pPr>
          </w:p>
        </w:tc>
        <w:tc>
          <w:tcPr>
            <w:tcW w:w="529" w:type="pct"/>
            <w:shd w:val="clear" w:color="auto" w:fill="CCFFCC"/>
            <w:hideMark/>
          </w:tcPr>
          <w:p w:rsidR="00000000" w:rsidRDefault="00B95558">
            <w:pPr>
              <w:rPr>
                <w:rFonts w:eastAsia="Times New Roman"/>
              </w:rPr>
            </w:pPr>
          </w:p>
        </w:tc>
        <w:tc>
          <w:tcPr>
            <w:tcW w:w="529" w:type="pct"/>
            <w:shd w:val="clear" w:color="auto" w:fill="CCFFCC"/>
            <w:hideMark/>
          </w:tcPr>
          <w:p w:rsidR="00000000" w:rsidRDefault="00B95558">
            <w:pPr>
              <w:rPr>
                <w:rFonts w:eastAsia="Times New Roman"/>
              </w:rPr>
            </w:pPr>
          </w:p>
        </w:tc>
        <w:tc>
          <w:tcPr>
            <w:tcW w:w="529" w:type="pct"/>
            <w:shd w:val="clear" w:color="auto" w:fill="CCFFCC"/>
            <w:hideMark/>
          </w:tcPr>
          <w:p w:rsidR="00000000" w:rsidRDefault="00B95558">
            <w:pPr>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p>
        </w:tc>
        <w:tc>
          <w:tcPr>
            <w:tcW w:w="0" w:type="auto"/>
            <w:gridSpan w:val="2"/>
            <w:shd w:val="clear" w:color="auto" w:fill="FFFFFF"/>
            <w:hideMark/>
          </w:tcPr>
          <w:p w:rsidR="00000000" w:rsidRDefault="00B95558">
            <w:pPr>
              <w:pStyle w:val="NormalWeb"/>
              <w:jc w:val="center"/>
            </w:pPr>
            <w:r>
              <w:rPr>
                <w:sz w:val="20"/>
                <w:szCs w:val="20"/>
              </w:rPr>
              <w:t>3 Month Period Ending December, 31</w:t>
            </w:r>
          </w:p>
        </w:tc>
        <w:tc>
          <w:tcPr>
            <w:tcW w:w="0" w:type="auto"/>
            <w:gridSpan w:val="2"/>
            <w:shd w:val="clear" w:color="auto" w:fill="FFFFFF"/>
            <w:hideMark/>
          </w:tcPr>
          <w:p w:rsidR="00000000" w:rsidRDefault="00B95558">
            <w:pPr>
              <w:pStyle w:val="NormalWeb"/>
              <w:jc w:val="center"/>
            </w:pPr>
            <w:r>
              <w:rPr>
                <w:sz w:val="20"/>
                <w:szCs w:val="20"/>
              </w:rPr>
              <w:t>6 Month Period Ending December 31,</w:t>
            </w:r>
          </w:p>
        </w:tc>
        <w:tc>
          <w:tcPr>
            <w:tcW w:w="0" w:type="auto"/>
            <w:shd w:val="clear" w:color="auto" w:fill="FFFFFF"/>
            <w:hideMark/>
          </w:tcPr>
          <w:p w:rsidR="00000000" w:rsidRDefault="00B95558">
            <w:pPr>
              <w:pStyle w:val="NormalWeb"/>
              <w:jc w:val="center"/>
            </w:pPr>
            <w:r>
              <w:rPr>
                <w:sz w:val="20"/>
                <w:szCs w:val="20"/>
              </w:rPr>
              <w:t>12 Month Period Ending</w:t>
            </w:r>
            <w:r>
              <w:rPr>
                <w:sz w:val="20"/>
                <w:szCs w:val="20"/>
              </w:rPr>
              <w:br/>
              <w:t>June 30,</w:t>
            </w:r>
          </w:p>
        </w:tc>
      </w:tr>
      <w:tr w:rsidR="00000000">
        <w:trPr>
          <w:tblCellSpacing w:w="15" w:type="dxa"/>
        </w:trPr>
        <w:tc>
          <w:tcPr>
            <w:tcW w:w="0" w:type="auto"/>
            <w:shd w:val="clear" w:color="auto" w:fill="CCFFCC"/>
            <w:hideMark/>
          </w:tcPr>
          <w:p w:rsidR="00000000" w:rsidRDefault="00B95558">
            <w:pPr>
              <w:rPr>
                <w:rFonts w:eastAsia="Times New Roman"/>
              </w:rPr>
            </w:pPr>
          </w:p>
        </w:tc>
        <w:tc>
          <w:tcPr>
            <w:tcW w:w="0" w:type="auto"/>
            <w:gridSpan w:val="2"/>
            <w:shd w:val="clear" w:color="auto" w:fill="CCFFCC"/>
            <w:hideMark/>
          </w:tcPr>
          <w:p w:rsidR="00000000" w:rsidRDefault="00B95558">
            <w:pPr>
              <w:pStyle w:val="NormalWeb"/>
              <w:jc w:val="center"/>
            </w:pPr>
            <w:r>
              <w:rPr>
                <w:b/>
                <w:bCs/>
                <w:sz w:val="20"/>
                <w:szCs w:val="20"/>
              </w:rPr>
              <w:t>(Unaudited)</w:t>
            </w:r>
          </w:p>
        </w:tc>
        <w:tc>
          <w:tcPr>
            <w:tcW w:w="0" w:type="auto"/>
            <w:gridSpan w:val="2"/>
            <w:shd w:val="clear" w:color="auto" w:fill="CCFFCC"/>
            <w:hideMark/>
          </w:tcPr>
          <w:p w:rsidR="00000000" w:rsidRDefault="00B95558">
            <w:pPr>
              <w:pStyle w:val="NormalWeb"/>
              <w:jc w:val="center"/>
            </w:pPr>
            <w:r>
              <w:rPr>
                <w:b/>
                <w:bCs/>
                <w:sz w:val="20"/>
                <w:szCs w:val="20"/>
              </w:rPr>
              <w:t>(Unaudited)</w:t>
            </w:r>
          </w:p>
        </w:tc>
        <w:tc>
          <w:tcPr>
            <w:tcW w:w="0" w:type="auto"/>
            <w:shd w:val="clear" w:color="auto" w:fill="CCFFCC"/>
            <w:hideMark/>
          </w:tcPr>
          <w:p w:rsidR="00000000" w:rsidRDefault="00B95558">
            <w:pPr>
              <w:pStyle w:val="NormalWeb"/>
              <w:jc w:val="center"/>
            </w:pPr>
            <w:r>
              <w:rPr>
                <w:b/>
                <w:bCs/>
                <w:sz w:val="20"/>
                <w:szCs w:val="20"/>
              </w:rPr>
              <w:t>(Audited)</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 </w:t>
            </w:r>
          </w:p>
        </w:tc>
        <w:tc>
          <w:tcPr>
            <w:tcW w:w="0" w:type="auto"/>
            <w:shd w:val="clear" w:color="auto" w:fill="FFFFFF"/>
            <w:hideMark/>
          </w:tcPr>
          <w:p w:rsidR="00000000" w:rsidRDefault="00B95558">
            <w:pPr>
              <w:pStyle w:val="NormalWeb"/>
              <w:jc w:val="right"/>
            </w:pPr>
            <w:r>
              <w:rPr>
                <w:b/>
                <w:bCs/>
                <w:sz w:val="20"/>
                <w:szCs w:val="20"/>
              </w:rPr>
              <w:t>2012</w:t>
            </w:r>
          </w:p>
        </w:tc>
        <w:tc>
          <w:tcPr>
            <w:tcW w:w="0" w:type="auto"/>
            <w:shd w:val="clear" w:color="auto" w:fill="FFFFFF"/>
            <w:hideMark/>
          </w:tcPr>
          <w:p w:rsidR="00000000" w:rsidRDefault="00B95558">
            <w:pPr>
              <w:pStyle w:val="NormalWeb"/>
              <w:jc w:val="right"/>
            </w:pPr>
            <w:r>
              <w:rPr>
                <w:b/>
                <w:bCs/>
                <w:sz w:val="20"/>
                <w:szCs w:val="20"/>
              </w:rPr>
              <w:t>2011</w:t>
            </w:r>
          </w:p>
        </w:tc>
        <w:tc>
          <w:tcPr>
            <w:tcW w:w="0" w:type="auto"/>
            <w:shd w:val="clear" w:color="auto" w:fill="FFFFFF"/>
            <w:hideMark/>
          </w:tcPr>
          <w:p w:rsidR="00000000" w:rsidRDefault="00B95558">
            <w:pPr>
              <w:pStyle w:val="NormalWeb"/>
              <w:jc w:val="right"/>
            </w:pPr>
            <w:r>
              <w:rPr>
                <w:b/>
                <w:bCs/>
                <w:sz w:val="20"/>
                <w:szCs w:val="20"/>
              </w:rPr>
              <w:t>2012</w:t>
            </w:r>
          </w:p>
        </w:tc>
        <w:tc>
          <w:tcPr>
            <w:tcW w:w="0" w:type="auto"/>
            <w:shd w:val="clear" w:color="auto" w:fill="FFFFFF"/>
            <w:hideMark/>
          </w:tcPr>
          <w:p w:rsidR="00000000" w:rsidRDefault="00B95558">
            <w:pPr>
              <w:pStyle w:val="NormalWeb"/>
              <w:jc w:val="right"/>
            </w:pPr>
            <w:r>
              <w:rPr>
                <w:b/>
                <w:bCs/>
                <w:sz w:val="20"/>
                <w:szCs w:val="20"/>
              </w:rPr>
              <w:t>2011</w:t>
            </w:r>
          </w:p>
        </w:tc>
        <w:tc>
          <w:tcPr>
            <w:tcW w:w="0" w:type="auto"/>
            <w:shd w:val="clear" w:color="auto" w:fill="FFFFFF"/>
            <w:hideMark/>
          </w:tcPr>
          <w:p w:rsidR="00000000" w:rsidRDefault="00B95558">
            <w:pPr>
              <w:pStyle w:val="NormalWeb"/>
              <w:jc w:val="right"/>
            </w:pPr>
            <w:r>
              <w:rPr>
                <w:b/>
                <w:bCs/>
                <w:sz w:val="20"/>
                <w:szCs w:val="20"/>
              </w:rPr>
              <w:t>2012</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Revenues</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Real Estate Rental Income, subsidiary</w:t>
            </w:r>
          </w:p>
        </w:tc>
        <w:tc>
          <w:tcPr>
            <w:tcW w:w="0" w:type="auto"/>
            <w:shd w:val="clear" w:color="auto" w:fill="FFFFFF"/>
            <w:hideMark/>
          </w:tcPr>
          <w:p w:rsidR="00000000" w:rsidRDefault="00B95558">
            <w:pPr>
              <w:jc w:val="right"/>
              <w:rPr>
                <w:rFonts w:eastAsia="Times New Roman"/>
              </w:rPr>
            </w:pPr>
            <w:r>
              <w:rPr>
                <w:rFonts w:eastAsia="Times New Roman"/>
                <w:sz w:val="20"/>
                <w:szCs w:val="20"/>
              </w:rPr>
              <w:t>10,276</w:t>
            </w:r>
          </w:p>
        </w:tc>
        <w:tc>
          <w:tcPr>
            <w:tcW w:w="0" w:type="auto"/>
            <w:shd w:val="clear" w:color="auto" w:fill="FFFFFF"/>
            <w:hideMark/>
          </w:tcPr>
          <w:p w:rsidR="00000000" w:rsidRDefault="00B95558">
            <w:pPr>
              <w:jc w:val="right"/>
              <w:rPr>
                <w:rFonts w:eastAsia="Times New Roman"/>
              </w:rPr>
            </w:pPr>
            <w:r>
              <w:rPr>
                <w:rFonts w:eastAsia="Times New Roman"/>
                <w:sz w:val="20"/>
                <w:szCs w:val="20"/>
              </w:rPr>
              <w:t>10,284</w:t>
            </w:r>
          </w:p>
        </w:tc>
        <w:tc>
          <w:tcPr>
            <w:tcW w:w="0" w:type="auto"/>
            <w:shd w:val="clear" w:color="auto" w:fill="FFFFFF"/>
            <w:hideMark/>
          </w:tcPr>
          <w:p w:rsidR="00000000" w:rsidRDefault="00B95558">
            <w:pPr>
              <w:jc w:val="right"/>
              <w:rPr>
                <w:rFonts w:eastAsia="Times New Roman"/>
              </w:rPr>
            </w:pPr>
            <w:r>
              <w:rPr>
                <w:rFonts w:eastAsia="Times New Roman"/>
                <w:sz w:val="20"/>
                <w:szCs w:val="20"/>
              </w:rPr>
              <w:t>36,748</w:t>
            </w:r>
          </w:p>
        </w:tc>
        <w:tc>
          <w:tcPr>
            <w:tcW w:w="0" w:type="auto"/>
            <w:shd w:val="clear" w:color="auto" w:fill="FFFFFF"/>
            <w:hideMark/>
          </w:tcPr>
          <w:p w:rsidR="00000000" w:rsidRDefault="00B95558">
            <w:pPr>
              <w:jc w:val="right"/>
              <w:rPr>
                <w:rFonts w:eastAsia="Times New Roman"/>
              </w:rPr>
            </w:pPr>
            <w:r>
              <w:rPr>
                <w:rFonts w:eastAsia="Times New Roman"/>
                <w:sz w:val="20"/>
                <w:szCs w:val="20"/>
              </w:rPr>
              <w:t>20,846</w:t>
            </w:r>
          </w:p>
        </w:tc>
        <w:tc>
          <w:tcPr>
            <w:tcW w:w="0" w:type="auto"/>
            <w:shd w:val="clear" w:color="auto" w:fill="FFFFFF"/>
            <w:hideMark/>
          </w:tcPr>
          <w:p w:rsidR="00000000" w:rsidRDefault="00B95558">
            <w:pPr>
              <w:jc w:val="right"/>
              <w:rPr>
                <w:rFonts w:eastAsia="Times New Roman"/>
              </w:rPr>
            </w:pPr>
            <w:r>
              <w:rPr>
                <w:rFonts w:eastAsia="Times New Roman"/>
                <w:sz w:val="20"/>
                <w:szCs w:val="20"/>
              </w:rPr>
              <w:t>39,247</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Foreign Exchange Income</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18,598</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Total Revenues</w:t>
            </w:r>
          </w:p>
        </w:tc>
        <w:tc>
          <w:tcPr>
            <w:tcW w:w="0" w:type="auto"/>
            <w:shd w:val="clear" w:color="auto" w:fill="CCFFCC"/>
            <w:hideMark/>
          </w:tcPr>
          <w:p w:rsidR="00000000" w:rsidRDefault="00B95558">
            <w:pPr>
              <w:jc w:val="right"/>
              <w:rPr>
                <w:rFonts w:eastAsia="Times New Roman"/>
              </w:rPr>
            </w:pPr>
            <w:r>
              <w:rPr>
                <w:rFonts w:eastAsia="Times New Roman"/>
                <w:sz w:val="20"/>
                <w:szCs w:val="20"/>
              </w:rPr>
              <w:t>10,276</w:t>
            </w:r>
          </w:p>
        </w:tc>
        <w:tc>
          <w:tcPr>
            <w:tcW w:w="0" w:type="auto"/>
            <w:shd w:val="clear" w:color="auto" w:fill="CCFFCC"/>
            <w:hideMark/>
          </w:tcPr>
          <w:p w:rsidR="00000000" w:rsidRDefault="00B95558">
            <w:pPr>
              <w:jc w:val="right"/>
              <w:rPr>
                <w:rFonts w:eastAsia="Times New Roman"/>
              </w:rPr>
            </w:pPr>
            <w:r>
              <w:rPr>
                <w:rFonts w:eastAsia="Times New Roman"/>
                <w:sz w:val="20"/>
                <w:szCs w:val="20"/>
              </w:rPr>
              <w:t>10,284</w:t>
            </w:r>
          </w:p>
        </w:tc>
        <w:tc>
          <w:tcPr>
            <w:tcW w:w="0" w:type="auto"/>
            <w:shd w:val="clear" w:color="auto" w:fill="CCFFCC"/>
            <w:hideMark/>
          </w:tcPr>
          <w:p w:rsidR="00000000" w:rsidRDefault="00B95558">
            <w:pPr>
              <w:jc w:val="right"/>
              <w:rPr>
                <w:rFonts w:eastAsia="Times New Roman"/>
              </w:rPr>
            </w:pPr>
            <w:r>
              <w:rPr>
                <w:rFonts w:eastAsia="Times New Roman"/>
                <w:sz w:val="20"/>
                <w:szCs w:val="20"/>
              </w:rPr>
              <w:t>36,748</w:t>
            </w:r>
          </w:p>
        </w:tc>
        <w:tc>
          <w:tcPr>
            <w:tcW w:w="0" w:type="auto"/>
            <w:shd w:val="clear" w:color="auto" w:fill="CCFFCC"/>
            <w:hideMark/>
          </w:tcPr>
          <w:p w:rsidR="00000000" w:rsidRDefault="00B95558">
            <w:pPr>
              <w:jc w:val="right"/>
              <w:rPr>
                <w:rFonts w:eastAsia="Times New Roman"/>
              </w:rPr>
            </w:pPr>
            <w:r>
              <w:rPr>
                <w:rFonts w:eastAsia="Times New Roman"/>
                <w:sz w:val="20"/>
                <w:szCs w:val="20"/>
              </w:rPr>
              <w:t>20,846</w:t>
            </w:r>
          </w:p>
        </w:tc>
        <w:tc>
          <w:tcPr>
            <w:tcW w:w="0" w:type="auto"/>
            <w:shd w:val="clear" w:color="auto" w:fill="CCFFCC"/>
            <w:hideMark/>
          </w:tcPr>
          <w:p w:rsidR="00000000" w:rsidRDefault="00B95558">
            <w:pPr>
              <w:jc w:val="right"/>
              <w:rPr>
                <w:rFonts w:eastAsia="Times New Roman"/>
              </w:rPr>
            </w:pPr>
            <w:r>
              <w:rPr>
                <w:rFonts w:eastAsia="Times New Roman"/>
                <w:sz w:val="20"/>
                <w:szCs w:val="20"/>
              </w:rPr>
              <w:t>57,845</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 </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Cost of Sales</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Cost of Sales, subsidiary</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Gross Profit</w:t>
            </w:r>
          </w:p>
        </w:tc>
        <w:tc>
          <w:tcPr>
            <w:tcW w:w="0" w:type="auto"/>
            <w:shd w:val="clear" w:color="auto" w:fill="FFFFFF"/>
            <w:hideMark/>
          </w:tcPr>
          <w:p w:rsidR="00000000" w:rsidRDefault="00B95558">
            <w:pPr>
              <w:jc w:val="right"/>
              <w:rPr>
                <w:rFonts w:eastAsia="Times New Roman"/>
              </w:rPr>
            </w:pPr>
            <w:r>
              <w:rPr>
                <w:rFonts w:eastAsia="Times New Roman"/>
                <w:sz w:val="20"/>
                <w:szCs w:val="20"/>
              </w:rPr>
              <w:t>10,276</w:t>
            </w:r>
          </w:p>
        </w:tc>
        <w:tc>
          <w:tcPr>
            <w:tcW w:w="0" w:type="auto"/>
            <w:shd w:val="clear" w:color="auto" w:fill="FFFFFF"/>
            <w:hideMark/>
          </w:tcPr>
          <w:p w:rsidR="00000000" w:rsidRDefault="00B95558">
            <w:pPr>
              <w:jc w:val="right"/>
              <w:rPr>
                <w:rFonts w:eastAsia="Times New Roman"/>
              </w:rPr>
            </w:pPr>
            <w:r>
              <w:rPr>
                <w:rFonts w:eastAsia="Times New Roman"/>
                <w:sz w:val="20"/>
                <w:szCs w:val="20"/>
              </w:rPr>
              <w:t>10,284</w:t>
            </w:r>
          </w:p>
        </w:tc>
        <w:tc>
          <w:tcPr>
            <w:tcW w:w="0" w:type="auto"/>
            <w:shd w:val="clear" w:color="auto" w:fill="FFFFFF"/>
            <w:hideMark/>
          </w:tcPr>
          <w:p w:rsidR="00000000" w:rsidRDefault="00B95558">
            <w:pPr>
              <w:jc w:val="right"/>
              <w:rPr>
                <w:rFonts w:eastAsia="Times New Roman"/>
              </w:rPr>
            </w:pPr>
            <w:r>
              <w:rPr>
                <w:rFonts w:eastAsia="Times New Roman"/>
                <w:sz w:val="20"/>
                <w:szCs w:val="20"/>
              </w:rPr>
              <w:t>36,748</w:t>
            </w:r>
          </w:p>
        </w:tc>
        <w:tc>
          <w:tcPr>
            <w:tcW w:w="0" w:type="auto"/>
            <w:shd w:val="clear" w:color="auto" w:fill="FFFFFF"/>
            <w:hideMark/>
          </w:tcPr>
          <w:p w:rsidR="00000000" w:rsidRDefault="00B95558">
            <w:pPr>
              <w:jc w:val="right"/>
              <w:rPr>
                <w:rFonts w:eastAsia="Times New Roman"/>
              </w:rPr>
            </w:pPr>
            <w:r>
              <w:rPr>
                <w:rFonts w:eastAsia="Times New Roman"/>
                <w:sz w:val="20"/>
                <w:szCs w:val="20"/>
              </w:rPr>
              <w:t>20,846</w:t>
            </w:r>
          </w:p>
        </w:tc>
        <w:tc>
          <w:tcPr>
            <w:tcW w:w="0" w:type="auto"/>
            <w:shd w:val="clear" w:color="auto" w:fill="FFFFFF"/>
            <w:hideMark/>
          </w:tcPr>
          <w:p w:rsidR="00000000" w:rsidRDefault="00B95558">
            <w:pPr>
              <w:jc w:val="right"/>
              <w:rPr>
                <w:rFonts w:eastAsia="Times New Roman"/>
              </w:rPr>
            </w:pPr>
            <w:r>
              <w:rPr>
                <w:rFonts w:eastAsia="Times New Roman"/>
                <w:sz w:val="20"/>
                <w:szCs w:val="20"/>
              </w:rPr>
              <w:t>57,845</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Expenses</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Accounting Expense</w:t>
            </w:r>
          </w:p>
        </w:tc>
        <w:tc>
          <w:tcPr>
            <w:tcW w:w="0" w:type="auto"/>
            <w:shd w:val="clear" w:color="auto" w:fill="CCFFCC"/>
            <w:hideMark/>
          </w:tcPr>
          <w:p w:rsidR="00000000" w:rsidRDefault="00B95558">
            <w:pPr>
              <w:jc w:val="right"/>
              <w:rPr>
                <w:rFonts w:eastAsia="Times New Roman"/>
              </w:rPr>
            </w:pPr>
            <w:r>
              <w:rPr>
                <w:rFonts w:eastAsia="Times New Roman"/>
                <w:sz w:val="20"/>
                <w:szCs w:val="20"/>
              </w:rPr>
              <w:t>9,821</w:t>
            </w:r>
          </w:p>
        </w:tc>
        <w:tc>
          <w:tcPr>
            <w:tcW w:w="0" w:type="auto"/>
            <w:shd w:val="clear" w:color="auto" w:fill="CCFFCC"/>
            <w:hideMark/>
          </w:tcPr>
          <w:p w:rsidR="00000000" w:rsidRDefault="00B95558">
            <w:pPr>
              <w:jc w:val="right"/>
              <w:rPr>
                <w:rFonts w:eastAsia="Times New Roman"/>
              </w:rPr>
            </w:pPr>
            <w:r>
              <w:rPr>
                <w:rFonts w:eastAsia="Times New Roman"/>
                <w:sz w:val="20"/>
                <w:szCs w:val="20"/>
              </w:rPr>
              <w:t>7,547</w:t>
            </w:r>
          </w:p>
        </w:tc>
        <w:tc>
          <w:tcPr>
            <w:tcW w:w="0" w:type="auto"/>
            <w:shd w:val="clear" w:color="auto" w:fill="CCFFCC"/>
            <w:hideMark/>
          </w:tcPr>
          <w:p w:rsidR="00000000" w:rsidRDefault="00B95558">
            <w:pPr>
              <w:jc w:val="right"/>
              <w:rPr>
                <w:rFonts w:eastAsia="Times New Roman"/>
              </w:rPr>
            </w:pPr>
            <w:r>
              <w:rPr>
                <w:rFonts w:eastAsia="Times New Roman"/>
                <w:sz w:val="20"/>
                <w:szCs w:val="20"/>
              </w:rPr>
              <w:t>9,821</w:t>
            </w:r>
          </w:p>
        </w:tc>
        <w:tc>
          <w:tcPr>
            <w:tcW w:w="0" w:type="auto"/>
            <w:shd w:val="clear" w:color="auto" w:fill="CCFFCC"/>
            <w:hideMark/>
          </w:tcPr>
          <w:p w:rsidR="00000000" w:rsidRDefault="00B95558">
            <w:pPr>
              <w:jc w:val="right"/>
              <w:rPr>
                <w:rFonts w:eastAsia="Times New Roman"/>
              </w:rPr>
            </w:pPr>
            <w:r>
              <w:rPr>
                <w:rFonts w:eastAsia="Times New Roman"/>
                <w:sz w:val="20"/>
                <w:szCs w:val="20"/>
              </w:rPr>
              <w:t>7,547</w:t>
            </w:r>
          </w:p>
        </w:tc>
        <w:tc>
          <w:tcPr>
            <w:tcW w:w="0" w:type="auto"/>
            <w:shd w:val="clear" w:color="auto" w:fill="CCFFCC"/>
            <w:hideMark/>
          </w:tcPr>
          <w:p w:rsidR="00000000" w:rsidRDefault="00B95558">
            <w:pPr>
              <w:jc w:val="right"/>
              <w:rPr>
                <w:rFonts w:eastAsia="Times New Roman"/>
              </w:rPr>
            </w:pPr>
            <w:r>
              <w:rPr>
                <w:rFonts w:eastAsia="Times New Roman"/>
                <w:sz w:val="20"/>
                <w:szCs w:val="20"/>
              </w:rPr>
              <w:t>7,547</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Interest Expense</w:t>
            </w:r>
          </w:p>
        </w:tc>
        <w:tc>
          <w:tcPr>
            <w:tcW w:w="0" w:type="auto"/>
            <w:shd w:val="clear" w:color="auto" w:fill="CCFFCC"/>
            <w:hideMark/>
          </w:tcPr>
          <w:p w:rsidR="00000000" w:rsidRDefault="00B95558">
            <w:pPr>
              <w:jc w:val="right"/>
              <w:rPr>
                <w:rFonts w:eastAsia="Times New Roman"/>
              </w:rPr>
            </w:pPr>
            <w:r>
              <w:rPr>
                <w:rFonts w:eastAsia="Times New Roman"/>
                <w:sz w:val="20"/>
                <w:szCs w:val="20"/>
              </w:rPr>
              <w:t>1,157</w:t>
            </w:r>
          </w:p>
        </w:tc>
        <w:tc>
          <w:tcPr>
            <w:tcW w:w="0" w:type="auto"/>
            <w:shd w:val="clear" w:color="auto" w:fill="CCFFCC"/>
            <w:hideMark/>
          </w:tcPr>
          <w:p w:rsidR="00000000" w:rsidRDefault="00B95558">
            <w:pPr>
              <w:jc w:val="right"/>
              <w:rPr>
                <w:rFonts w:eastAsia="Times New Roman"/>
              </w:rPr>
            </w:pPr>
            <w:r>
              <w:rPr>
                <w:rFonts w:eastAsia="Times New Roman"/>
                <w:sz w:val="20"/>
                <w:szCs w:val="20"/>
              </w:rPr>
              <w:t>1,265</w:t>
            </w:r>
          </w:p>
        </w:tc>
        <w:tc>
          <w:tcPr>
            <w:tcW w:w="0" w:type="auto"/>
            <w:shd w:val="clear" w:color="auto" w:fill="CCFFCC"/>
            <w:hideMark/>
          </w:tcPr>
          <w:p w:rsidR="00000000" w:rsidRDefault="00B95558">
            <w:pPr>
              <w:jc w:val="right"/>
              <w:rPr>
                <w:rFonts w:eastAsia="Times New Roman"/>
              </w:rPr>
            </w:pPr>
            <w:r>
              <w:rPr>
                <w:rFonts w:eastAsia="Times New Roman"/>
                <w:sz w:val="20"/>
                <w:szCs w:val="20"/>
              </w:rPr>
              <w:t>2,275</w:t>
            </w:r>
          </w:p>
        </w:tc>
        <w:tc>
          <w:tcPr>
            <w:tcW w:w="0" w:type="auto"/>
            <w:shd w:val="clear" w:color="auto" w:fill="CCFFCC"/>
            <w:hideMark/>
          </w:tcPr>
          <w:p w:rsidR="00000000" w:rsidRDefault="00B95558">
            <w:pPr>
              <w:jc w:val="right"/>
              <w:rPr>
                <w:rFonts w:eastAsia="Times New Roman"/>
              </w:rPr>
            </w:pPr>
            <w:r>
              <w:rPr>
                <w:rFonts w:eastAsia="Times New Roman"/>
                <w:sz w:val="20"/>
                <w:szCs w:val="20"/>
              </w:rPr>
              <w:t>2,665</w:t>
            </w:r>
          </w:p>
        </w:tc>
        <w:tc>
          <w:tcPr>
            <w:tcW w:w="0" w:type="auto"/>
            <w:shd w:val="clear" w:color="auto" w:fill="CCFFCC"/>
            <w:hideMark/>
          </w:tcPr>
          <w:p w:rsidR="00000000" w:rsidRDefault="00B95558">
            <w:pPr>
              <w:jc w:val="right"/>
              <w:rPr>
                <w:rFonts w:eastAsia="Times New Roman"/>
              </w:rPr>
            </w:pPr>
            <w:r>
              <w:rPr>
                <w:rFonts w:eastAsia="Times New Roman"/>
                <w:sz w:val="20"/>
                <w:szCs w:val="20"/>
              </w:rPr>
              <w:t>4,772</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General &amp; Administrative</w:t>
            </w:r>
          </w:p>
        </w:tc>
        <w:tc>
          <w:tcPr>
            <w:tcW w:w="0" w:type="auto"/>
            <w:shd w:val="clear" w:color="auto" w:fill="FFFFFF"/>
            <w:hideMark/>
          </w:tcPr>
          <w:p w:rsidR="00000000" w:rsidRDefault="00B95558">
            <w:pPr>
              <w:jc w:val="right"/>
              <w:rPr>
                <w:rFonts w:eastAsia="Times New Roman"/>
              </w:rPr>
            </w:pPr>
            <w:r>
              <w:rPr>
                <w:rFonts w:eastAsia="Times New Roman"/>
                <w:sz w:val="20"/>
                <w:szCs w:val="20"/>
              </w:rPr>
              <w:t>4,514</w:t>
            </w:r>
          </w:p>
        </w:tc>
        <w:tc>
          <w:tcPr>
            <w:tcW w:w="0" w:type="auto"/>
            <w:shd w:val="clear" w:color="auto" w:fill="FFFFFF"/>
            <w:hideMark/>
          </w:tcPr>
          <w:p w:rsidR="00000000" w:rsidRDefault="00B95558">
            <w:pPr>
              <w:jc w:val="right"/>
              <w:rPr>
                <w:rFonts w:eastAsia="Times New Roman"/>
              </w:rPr>
            </w:pPr>
            <w:r>
              <w:rPr>
                <w:rFonts w:eastAsia="Times New Roman"/>
                <w:sz w:val="20"/>
                <w:szCs w:val="20"/>
              </w:rPr>
              <w:t>3,045</w:t>
            </w:r>
          </w:p>
        </w:tc>
        <w:tc>
          <w:tcPr>
            <w:tcW w:w="0" w:type="auto"/>
            <w:shd w:val="clear" w:color="auto" w:fill="FFFFFF"/>
            <w:hideMark/>
          </w:tcPr>
          <w:p w:rsidR="00000000" w:rsidRDefault="00B95558">
            <w:pPr>
              <w:jc w:val="right"/>
              <w:rPr>
                <w:rFonts w:eastAsia="Times New Roman"/>
              </w:rPr>
            </w:pPr>
            <w:r>
              <w:rPr>
                <w:rFonts w:eastAsia="Times New Roman"/>
                <w:sz w:val="20"/>
                <w:szCs w:val="20"/>
              </w:rPr>
              <w:t>9,039</w:t>
            </w:r>
          </w:p>
        </w:tc>
        <w:tc>
          <w:tcPr>
            <w:tcW w:w="0" w:type="auto"/>
            <w:shd w:val="clear" w:color="auto" w:fill="FFFFFF"/>
            <w:hideMark/>
          </w:tcPr>
          <w:p w:rsidR="00000000" w:rsidRDefault="00B95558">
            <w:pPr>
              <w:jc w:val="right"/>
              <w:rPr>
                <w:rFonts w:eastAsia="Times New Roman"/>
              </w:rPr>
            </w:pPr>
            <w:r>
              <w:rPr>
                <w:rFonts w:eastAsia="Times New Roman"/>
                <w:sz w:val="20"/>
                <w:szCs w:val="20"/>
              </w:rPr>
              <w:t>7,944</w:t>
            </w:r>
          </w:p>
        </w:tc>
        <w:tc>
          <w:tcPr>
            <w:tcW w:w="0" w:type="auto"/>
            <w:shd w:val="clear" w:color="auto" w:fill="FFFFFF"/>
            <w:hideMark/>
          </w:tcPr>
          <w:p w:rsidR="00000000" w:rsidRDefault="00B95558">
            <w:pPr>
              <w:jc w:val="right"/>
              <w:rPr>
                <w:rFonts w:eastAsia="Times New Roman"/>
              </w:rPr>
            </w:pPr>
            <w:r>
              <w:rPr>
                <w:rFonts w:eastAsia="Times New Roman"/>
                <w:sz w:val="20"/>
                <w:szCs w:val="20"/>
              </w:rPr>
              <w:t>7,842</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Taxes</w:t>
            </w:r>
          </w:p>
        </w:tc>
        <w:tc>
          <w:tcPr>
            <w:tcW w:w="0" w:type="auto"/>
            <w:shd w:val="clear" w:color="auto" w:fill="CCFFCC"/>
            <w:hideMark/>
          </w:tcPr>
          <w:p w:rsidR="00000000" w:rsidRDefault="00B95558">
            <w:pPr>
              <w:jc w:val="right"/>
              <w:rPr>
                <w:rFonts w:eastAsia="Times New Roman"/>
              </w:rPr>
            </w:pPr>
            <w:r>
              <w:rPr>
                <w:rFonts w:eastAsia="Times New Roman"/>
                <w:sz w:val="20"/>
                <w:szCs w:val="20"/>
              </w:rPr>
              <w:t>2,455</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2,455</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Transfer Agent Expenses</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2,100</w:t>
            </w:r>
          </w:p>
        </w:tc>
      </w:tr>
      <w:tr w:rsidR="00000000">
        <w:trPr>
          <w:tblCellSpacing w:w="15" w:type="dxa"/>
        </w:trPr>
        <w:tc>
          <w:tcPr>
            <w:tcW w:w="0" w:type="auto"/>
            <w:shd w:val="clear" w:color="auto" w:fill="CCFFCC"/>
            <w:hideMark/>
          </w:tcPr>
          <w:p w:rsidR="00000000" w:rsidRDefault="00B95558">
            <w:pPr>
              <w:rPr>
                <w:rFonts w:eastAsia="Times New Roman"/>
              </w:rPr>
            </w:pP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Total Expenses</w:t>
            </w:r>
          </w:p>
        </w:tc>
        <w:tc>
          <w:tcPr>
            <w:tcW w:w="0" w:type="auto"/>
            <w:shd w:val="clear" w:color="auto" w:fill="CCFFCC"/>
            <w:hideMark/>
          </w:tcPr>
          <w:p w:rsidR="00000000" w:rsidRDefault="00B95558">
            <w:pPr>
              <w:jc w:val="right"/>
              <w:rPr>
                <w:rFonts w:eastAsia="Times New Roman"/>
              </w:rPr>
            </w:pPr>
            <w:r>
              <w:rPr>
                <w:rFonts w:eastAsia="Times New Roman"/>
                <w:sz w:val="20"/>
                <w:szCs w:val="20"/>
              </w:rPr>
              <w:t>17,947</w:t>
            </w:r>
          </w:p>
        </w:tc>
        <w:tc>
          <w:tcPr>
            <w:tcW w:w="0" w:type="auto"/>
            <w:shd w:val="clear" w:color="auto" w:fill="CCFFCC"/>
            <w:hideMark/>
          </w:tcPr>
          <w:p w:rsidR="00000000" w:rsidRDefault="00B95558">
            <w:pPr>
              <w:jc w:val="right"/>
              <w:rPr>
                <w:rFonts w:eastAsia="Times New Roman"/>
              </w:rPr>
            </w:pPr>
            <w:r>
              <w:rPr>
                <w:rFonts w:eastAsia="Times New Roman"/>
                <w:sz w:val="20"/>
                <w:szCs w:val="20"/>
              </w:rPr>
              <w:t>11,857</w:t>
            </w:r>
          </w:p>
        </w:tc>
        <w:tc>
          <w:tcPr>
            <w:tcW w:w="0" w:type="auto"/>
            <w:shd w:val="clear" w:color="auto" w:fill="CCFFCC"/>
            <w:hideMark/>
          </w:tcPr>
          <w:p w:rsidR="00000000" w:rsidRDefault="00B95558">
            <w:pPr>
              <w:jc w:val="right"/>
              <w:rPr>
                <w:rFonts w:eastAsia="Times New Roman"/>
              </w:rPr>
            </w:pPr>
            <w:r>
              <w:rPr>
                <w:rFonts w:eastAsia="Times New Roman"/>
                <w:sz w:val="20"/>
                <w:szCs w:val="20"/>
              </w:rPr>
              <w:t>23,590</w:t>
            </w:r>
          </w:p>
        </w:tc>
        <w:tc>
          <w:tcPr>
            <w:tcW w:w="0" w:type="auto"/>
            <w:shd w:val="clear" w:color="auto" w:fill="CCFFCC"/>
            <w:hideMark/>
          </w:tcPr>
          <w:p w:rsidR="00000000" w:rsidRDefault="00B95558">
            <w:pPr>
              <w:jc w:val="right"/>
              <w:rPr>
                <w:rFonts w:eastAsia="Times New Roman"/>
              </w:rPr>
            </w:pPr>
            <w:r>
              <w:rPr>
                <w:rFonts w:eastAsia="Times New Roman"/>
                <w:sz w:val="20"/>
                <w:szCs w:val="20"/>
              </w:rPr>
              <w:t>18,156</w:t>
            </w:r>
          </w:p>
        </w:tc>
        <w:tc>
          <w:tcPr>
            <w:tcW w:w="0" w:type="auto"/>
            <w:shd w:val="clear" w:color="auto" w:fill="CCFFCC"/>
            <w:hideMark/>
          </w:tcPr>
          <w:p w:rsidR="00000000" w:rsidRDefault="00B95558">
            <w:pPr>
              <w:jc w:val="right"/>
              <w:rPr>
                <w:rFonts w:eastAsia="Times New Roman"/>
              </w:rPr>
            </w:pPr>
            <w:r>
              <w:rPr>
                <w:rFonts w:eastAsia="Times New Roman"/>
                <w:sz w:val="20"/>
                <w:szCs w:val="20"/>
              </w:rPr>
              <w:t>22,261</w:t>
            </w:r>
          </w:p>
        </w:tc>
      </w:tr>
      <w:tr w:rsidR="00000000">
        <w:trPr>
          <w:tblCellSpacing w:w="15" w:type="dxa"/>
        </w:trPr>
        <w:tc>
          <w:tcPr>
            <w:tcW w:w="0" w:type="auto"/>
            <w:shd w:val="clear" w:color="auto" w:fill="FFFFFF"/>
            <w:vAlign w:val="center"/>
            <w:hideMark/>
          </w:tcPr>
          <w:p w:rsidR="00000000" w:rsidRDefault="00B95558">
            <w:pPr>
              <w:rPr>
                <w:rFonts w:eastAsia="Times New Roman"/>
              </w:rPr>
            </w:pP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center"/>
            <w:hideMark/>
          </w:tcPr>
          <w:p w:rsidR="00000000" w:rsidRDefault="00B95558">
            <w:pPr>
              <w:rPr>
                <w:rFonts w:eastAsia="Times New Roman"/>
              </w:rPr>
            </w:pPr>
            <w:r>
              <w:rPr>
                <w:rFonts w:eastAsia="Times New Roman"/>
                <w:b/>
                <w:bCs/>
                <w:sz w:val="20"/>
                <w:szCs w:val="20"/>
              </w:rPr>
              <w:t>Income (loss) from Operations</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(7,671)</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(1,573)</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13,158</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2,690</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35,584</w:t>
            </w:r>
          </w:p>
        </w:tc>
      </w:tr>
      <w:tr w:rsidR="00000000">
        <w:trPr>
          <w:tblCellSpacing w:w="15" w:type="dxa"/>
        </w:trPr>
        <w:tc>
          <w:tcPr>
            <w:tcW w:w="0" w:type="auto"/>
            <w:shd w:val="clear" w:color="auto" w:fill="FFFFFF"/>
            <w:vAlign w:val="center"/>
            <w:hideMark/>
          </w:tcPr>
          <w:p w:rsidR="00000000" w:rsidRDefault="00B95558">
            <w:pPr>
              <w:rPr>
                <w:rFonts w:eastAsia="Times New Roman"/>
              </w:rPr>
            </w:pPr>
            <w:r>
              <w:rPr>
                <w:rFonts w:eastAsia="Times New Roman"/>
                <w:sz w:val="20"/>
                <w:szCs w:val="20"/>
              </w:rPr>
              <w:t> </w:t>
            </w: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p>
        </w:tc>
        <w:tc>
          <w:tcPr>
            <w:tcW w:w="0" w:type="auto"/>
            <w:shd w:val="clear" w:color="auto" w:fill="FFFFFF"/>
            <w:vAlign w:val="center"/>
            <w:hideMark/>
          </w:tcPr>
          <w:p w:rsidR="00000000" w:rsidRDefault="00B95558">
            <w:pPr>
              <w:jc w:val="right"/>
              <w:rPr>
                <w:rFonts w:eastAsia="Times New Roman"/>
              </w:rPr>
            </w:pPr>
          </w:p>
        </w:tc>
      </w:tr>
      <w:tr w:rsidR="00000000">
        <w:trPr>
          <w:tblCellSpacing w:w="15" w:type="dxa"/>
        </w:trPr>
        <w:tc>
          <w:tcPr>
            <w:tcW w:w="0" w:type="auto"/>
            <w:shd w:val="clear" w:color="auto" w:fill="CCFFCC"/>
            <w:vAlign w:val="center"/>
            <w:hideMark/>
          </w:tcPr>
          <w:p w:rsidR="00000000" w:rsidRDefault="00B95558">
            <w:pPr>
              <w:rPr>
                <w:rFonts w:eastAsia="Times New Roman"/>
              </w:rPr>
            </w:pPr>
            <w:r>
              <w:rPr>
                <w:rFonts w:eastAsia="Times New Roman"/>
                <w:sz w:val="20"/>
                <w:szCs w:val="20"/>
              </w:rPr>
              <w:t>Other Income (Expense)</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r>
      <w:tr w:rsidR="00000000">
        <w:trPr>
          <w:tblCellSpacing w:w="15" w:type="dxa"/>
        </w:trPr>
        <w:tc>
          <w:tcPr>
            <w:tcW w:w="0" w:type="auto"/>
            <w:shd w:val="clear" w:color="auto" w:fill="FFFFFF"/>
            <w:vAlign w:val="center"/>
            <w:hideMark/>
          </w:tcPr>
          <w:p w:rsidR="00000000" w:rsidRDefault="00B95558">
            <w:pPr>
              <w:rPr>
                <w:rFonts w:eastAsia="Times New Roman"/>
              </w:rPr>
            </w:pPr>
            <w:r>
              <w:rPr>
                <w:rFonts w:eastAsia="Times New Roman"/>
                <w:sz w:val="20"/>
                <w:szCs w:val="20"/>
              </w:rPr>
              <w:t>Interest Income</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10</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46</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42</w:t>
            </w:r>
          </w:p>
        </w:tc>
      </w:tr>
      <w:tr w:rsidR="00000000">
        <w:trPr>
          <w:tblCellSpacing w:w="15" w:type="dxa"/>
        </w:trPr>
        <w:tc>
          <w:tcPr>
            <w:tcW w:w="0" w:type="auto"/>
            <w:shd w:val="clear" w:color="auto" w:fill="CCFFCC"/>
            <w:vAlign w:val="center"/>
            <w:hideMark/>
          </w:tcPr>
          <w:p w:rsidR="00000000" w:rsidRDefault="00B95558">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(63,319)</w:t>
            </w:r>
          </w:p>
        </w:tc>
      </w:tr>
      <w:tr w:rsidR="00000000">
        <w:trPr>
          <w:tblCellSpacing w:w="15" w:type="dxa"/>
        </w:trPr>
        <w:tc>
          <w:tcPr>
            <w:tcW w:w="0" w:type="auto"/>
            <w:shd w:val="clear" w:color="auto" w:fill="CCFFCC"/>
            <w:vAlign w:val="center"/>
            <w:hideMark/>
          </w:tcPr>
          <w:p w:rsidR="00000000" w:rsidRDefault="00B95558">
            <w:pPr>
              <w:rPr>
                <w:rFonts w:eastAsia="Times New Roman"/>
              </w:rPr>
            </w:pPr>
            <w:r>
              <w:rPr>
                <w:rFonts w:eastAsia="Times New Roman"/>
                <w:sz w:val="20"/>
                <w:szCs w:val="20"/>
              </w:rPr>
              <w:t>Vendor Debt Write Down</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8,050</w:t>
            </w:r>
          </w:p>
        </w:tc>
      </w:tr>
      <w:tr w:rsidR="00000000">
        <w:trPr>
          <w:tblCellSpacing w:w="15" w:type="dxa"/>
        </w:trPr>
        <w:tc>
          <w:tcPr>
            <w:tcW w:w="0" w:type="auto"/>
            <w:shd w:val="clear" w:color="auto" w:fill="FFFFFF"/>
            <w:vAlign w:val="center"/>
            <w:hideMark/>
          </w:tcPr>
          <w:p w:rsidR="00000000" w:rsidRDefault="00B95558">
            <w:pPr>
              <w:rPr>
                <w:rFonts w:eastAsia="Times New Roman"/>
              </w:rPr>
            </w:pPr>
            <w:r>
              <w:rPr>
                <w:rFonts w:eastAsia="Times New Roman"/>
                <w:sz w:val="20"/>
                <w:szCs w:val="20"/>
              </w:rPr>
              <w:t>Total Other Income (Expense)</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10</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46</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555,227</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b/>
                <w:bCs/>
                <w:sz w:val="20"/>
                <w:szCs w:val="20"/>
              </w:rPr>
              <w:t>Net Income (Loss)</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(7,671)</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(1,563)</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13,158</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2,736</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(19,643)</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Accumulated Deficit</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Beginning of Period</w:t>
            </w:r>
          </w:p>
        </w:tc>
        <w:tc>
          <w:tcPr>
            <w:tcW w:w="0" w:type="auto"/>
            <w:shd w:val="clear" w:color="auto" w:fill="CCFFCC"/>
            <w:hideMark/>
          </w:tcPr>
          <w:p w:rsidR="00000000" w:rsidRDefault="00B95558">
            <w:pPr>
              <w:jc w:val="right"/>
              <w:rPr>
                <w:rFonts w:eastAsia="Times New Roman"/>
              </w:rPr>
            </w:pPr>
            <w:r>
              <w:rPr>
                <w:rFonts w:eastAsia="Times New Roman"/>
                <w:sz w:val="20"/>
                <w:szCs w:val="20"/>
              </w:rPr>
              <w:t>(20,717,106)</w:t>
            </w:r>
          </w:p>
        </w:tc>
        <w:tc>
          <w:tcPr>
            <w:tcW w:w="0" w:type="auto"/>
            <w:shd w:val="clear" w:color="auto" w:fill="CCFFCC"/>
            <w:hideMark/>
          </w:tcPr>
          <w:p w:rsidR="00000000" w:rsidRDefault="00B95558">
            <w:pPr>
              <w:jc w:val="right"/>
              <w:rPr>
                <w:rFonts w:eastAsia="Times New Roman"/>
              </w:rPr>
            </w:pPr>
            <w:r>
              <w:rPr>
                <w:rFonts w:eastAsia="Times New Roman"/>
                <w:sz w:val="20"/>
                <w:szCs w:val="20"/>
              </w:rPr>
              <w:t>(20,713,993)</w:t>
            </w:r>
          </w:p>
        </w:tc>
        <w:tc>
          <w:tcPr>
            <w:tcW w:w="0" w:type="auto"/>
            <w:shd w:val="clear" w:color="auto" w:fill="CCFFCC"/>
            <w:hideMark/>
          </w:tcPr>
          <w:p w:rsidR="00000000" w:rsidRDefault="00B95558">
            <w:pPr>
              <w:jc w:val="right"/>
              <w:rPr>
                <w:rFonts w:eastAsia="Times New Roman"/>
              </w:rPr>
            </w:pPr>
            <w:r>
              <w:rPr>
                <w:rFonts w:eastAsia="Times New Roman"/>
                <w:sz w:val="20"/>
                <w:szCs w:val="20"/>
              </w:rPr>
              <w:t>(20,737,935)</w:t>
            </w:r>
          </w:p>
        </w:tc>
        <w:tc>
          <w:tcPr>
            <w:tcW w:w="0" w:type="auto"/>
            <w:shd w:val="clear" w:color="auto" w:fill="CCFFCC"/>
            <w:hideMark/>
          </w:tcPr>
          <w:p w:rsidR="00000000" w:rsidRDefault="00B95558">
            <w:pPr>
              <w:jc w:val="right"/>
              <w:rPr>
                <w:rFonts w:eastAsia="Times New Roman"/>
              </w:rPr>
            </w:pPr>
            <w:r>
              <w:rPr>
                <w:rFonts w:eastAsia="Times New Roman"/>
                <w:sz w:val="20"/>
                <w:szCs w:val="20"/>
              </w:rPr>
              <w:t>(20,718,292)</w:t>
            </w:r>
          </w:p>
        </w:tc>
        <w:tc>
          <w:tcPr>
            <w:tcW w:w="0" w:type="auto"/>
            <w:shd w:val="clear" w:color="auto" w:fill="CCFFCC"/>
            <w:hideMark/>
          </w:tcPr>
          <w:p w:rsidR="00000000" w:rsidRDefault="00B95558">
            <w:pPr>
              <w:jc w:val="right"/>
              <w:rPr>
                <w:rFonts w:eastAsia="Times New Roman"/>
              </w:rPr>
            </w:pPr>
            <w:r>
              <w:rPr>
                <w:rFonts w:eastAsia="Times New Roman"/>
                <w:sz w:val="20"/>
                <w:szCs w:val="20"/>
              </w:rPr>
              <w:t>(20,718,292)</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End of Period</w:t>
            </w:r>
          </w:p>
        </w:tc>
        <w:tc>
          <w:tcPr>
            <w:tcW w:w="0" w:type="auto"/>
            <w:shd w:val="clear" w:color="auto" w:fill="FFFFFF"/>
            <w:hideMark/>
          </w:tcPr>
          <w:p w:rsidR="00000000" w:rsidRDefault="00B95558">
            <w:pPr>
              <w:jc w:val="right"/>
              <w:rPr>
                <w:rFonts w:eastAsia="Times New Roman"/>
              </w:rPr>
            </w:pPr>
            <w:r>
              <w:rPr>
                <w:rFonts w:eastAsia="Times New Roman"/>
                <w:sz w:val="20"/>
                <w:szCs w:val="20"/>
              </w:rPr>
              <w:t>(20,724,778)</w:t>
            </w:r>
          </w:p>
        </w:tc>
        <w:tc>
          <w:tcPr>
            <w:tcW w:w="0" w:type="auto"/>
            <w:shd w:val="clear" w:color="auto" w:fill="FFFFFF"/>
            <w:hideMark/>
          </w:tcPr>
          <w:p w:rsidR="00000000" w:rsidRDefault="00B95558">
            <w:pPr>
              <w:jc w:val="right"/>
              <w:rPr>
                <w:rFonts w:eastAsia="Times New Roman"/>
              </w:rPr>
            </w:pPr>
            <w:r>
              <w:rPr>
                <w:rFonts w:eastAsia="Times New Roman"/>
                <w:sz w:val="20"/>
                <w:szCs w:val="20"/>
              </w:rPr>
              <w:t>(20,715,556)</w:t>
            </w:r>
          </w:p>
        </w:tc>
        <w:tc>
          <w:tcPr>
            <w:tcW w:w="0" w:type="auto"/>
            <w:shd w:val="clear" w:color="auto" w:fill="FFFFFF"/>
            <w:hideMark/>
          </w:tcPr>
          <w:p w:rsidR="00000000" w:rsidRDefault="00B95558">
            <w:pPr>
              <w:jc w:val="right"/>
              <w:rPr>
                <w:rFonts w:eastAsia="Times New Roman"/>
              </w:rPr>
            </w:pPr>
            <w:r>
              <w:rPr>
                <w:rFonts w:eastAsia="Times New Roman"/>
                <w:sz w:val="20"/>
                <w:szCs w:val="20"/>
              </w:rPr>
              <w:t>(20,724,778)</w:t>
            </w:r>
          </w:p>
        </w:tc>
        <w:tc>
          <w:tcPr>
            <w:tcW w:w="0" w:type="auto"/>
            <w:shd w:val="clear" w:color="auto" w:fill="FFFFFF"/>
            <w:hideMark/>
          </w:tcPr>
          <w:p w:rsidR="00000000" w:rsidRDefault="00B95558">
            <w:pPr>
              <w:jc w:val="right"/>
              <w:rPr>
                <w:rFonts w:eastAsia="Times New Roman"/>
              </w:rPr>
            </w:pPr>
            <w:r>
              <w:rPr>
                <w:rFonts w:eastAsia="Times New Roman"/>
                <w:sz w:val="20"/>
                <w:szCs w:val="20"/>
              </w:rPr>
              <w:t>(20,715,556)</w:t>
            </w:r>
          </w:p>
        </w:tc>
        <w:tc>
          <w:tcPr>
            <w:tcW w:w="0" w:type="auto"/>
            <w:shd w:val="clear" w:color="auto" w:fill="FFFFFF"/>
            <w:hideMark/>
          </w:tcPr>
          <w:p w:rsidR="00000000" w:rsidRDefault="00B95558">
            <w:pPr>
              <w:jc w:val="right"/>
              <w:rPr>
                <w:rFonts w:eastAsia="Times New Roman"/>
              </w:rPr>
            </w:pPr>
            <w:r>
              <w:rPr>
                <w:rFonts w:eastAsia="Times New Roman"/>
                <w:sz w:val="20"/>
                <w:szCs w:val="20"/>
              </w:rPr>
              <w:t>(20,737,935)</w:t>
            </w:r>
          </w:p>
        </w:tc>
      </w:tr>
      <w:tr w:rsidR="00000000">
        <w:trPr>
          <w:tblCellSpacing w:w="15" w:type="dxa"/>
        </w:trPr>
        <w:tc>
          <w:tcPr>
            <w:tcW w:w="0" w:type="auto"/>
            <w:shd w:val="clear" w:color="auto" w:fill="CCFFCC"/>
            <w:vAlign w:val="center"/>
            <w:hideMark/>
          </w:tcPr>
          <w:p w:rsidR="00000000" w:rsidRDefault="00B95558">
            <w:pPr>
              <w:rPr>
                <w:rFonts w:eastAsia="Times New Roman"/>
              </w:rPr>
            </w:pPr>
            <w:r>
              <w:rPr>
                <w:rFonts w:eastAsia="Times New Roman"/>
                <w:sz w:val="20"/>
                <w:szCs w:val="20"/>
              </w:rPr>
              <w:t> </w:t>
            </w: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c>
          <w:tcPr>
            <w:tcW w:w="0" w:type="auto"/>
            <w:shd w:val="clear" w:color="auto" w:fill="CCFFCC"/>
            <w:vAlign w:val="center"/>
            <w:hideMark/>
          </w:tcPr>
          <w:p w:rsidR="00000000" w:rsidRDefault="00B95558">
            <w:pPr>
              <w:jc w:val="right"/>
              <w:rPr>
                <w:rFonts w:eastAsia="Times New Roman"/>
              </w:rPr>
            </w:pPr>
          </w:p>
        </w:tc>
      </w:tr>
      <w:tr w:rsidR="00000000">
        <w:trPr>
          <w:tblCellSpacing w:w="15" w:type="dxa"/>
        </w:trPr>
        <w:tc>
          <w:tcPr>
            <w:tcW w:w="0" w:type="auto"/>
            <w:shd w:val="clear" w:color="auto" w:fill="FFFFFF"/>
            <w:vAlign w:val="center"/>
            <w:hideMark/>
          </w:tcPr>
          <w:p w:rsidR="00000000" w:rsidRDefault="00B95558">
            <w:pPr>
              <w:rPr>
                <w:rFonts w:eastAsia="Times New Roman"/>
              </w:rPr>
            </w:pPr>
            <w:r>
              <w:rPr>
                <w:rFonts w:eastAsia="Times New Roman"/>
                <w:sz w:val="20"/>
                <w:szCs w:val="20"/>
              </w:rPr>
              <w:t>Earnings per Share</w:t>
            </w:r>
          </w:p>
        </w:tc>
        <w:tc>
          <w:tcPr>
            <w:tcW w:w="0" w:type="auto"/>
            <w:shd w:val="clear" w:color="auto" w:fill="FFFFFF"/>
            <w:vAlign w:val="center"/>
            <w:hideMark/>
          </w:tcPr>
          <w:p w:rsidR="00000000" w:rsidRDefault="00B95558">
            <w:pPr>
              <w:pStyle w:val="NormalWeb"/>
              <w:jc w:val="right"/>
            </w:pPr>
            <w:r>
              <w:rPr>
                <w:sz w:val="20"/>
                <w:szCs w:val="20"/>
              </w:rPr>
              <w:t>0.000</w:t>
            </w:r>
          </w:p>
        </w:tc>
        <w:tc>
          <w:tcPr>
            <w:tcW w:w="0" w:type="auto"/>
            <w:shd w:val="clear" w:color="auto" w:fill="FFFFFF"/>
            <w:vAlign w:val="center"/>
            <w:hideMark/>
          </w:tcPr>
          <w:p w:rsidR="00000000" w:rsidRDefault="00B95558">
            <w:pPr>
              <w:pStyle w:val="NormalWeb"/>
              <w:jc w:val="right"/>
            </w:pPr>
            <w:r>
              <w:rPr>
                <w:sz w:val="20"/>
                <w:szCs w:val="20"/>
              </w:rPr>
              <w:t>0.000</w:t>
            </w:r>
          </w:p>
        </w:tc>
        <w:tc>
          <w:tcPr>
            <w:tcW w:w="0" w:type="auto"/>
            <w:shd w:val="clear" w:color="auto" w:fill="FFFFFF"/>
            <w:vAlign w:val="center"/>
            <w:hideMark/>
          </w:tcPr>
          <w:p w:rsidR="00000000" w:rsidRDefault="00B95558">
            <w:pPr>
              <w:pStyle w:val="NormalWeb"/>
              <w:jc w:val="right"/>
            </w:pPr>
            <w:r>
              <w:rPr>
                <w:sz w:val="20"/>
                <w:szCs w:val="20"/>
              </w:rPr>
              <w:t>0.000</w:t>
            </w:r>
          </w:p>
        </w:tc>
        <w:tc>
          <w:tcPr>
            <w:tcW w:w="0" w:type="auto"/>
            <w:shd w:val="clear" w:color="auto" w:fill="FFFFFF"/>
            <w:vAlign w:val="center"/>
            <w:hideMark/>
          </w:tcPr>
          <w:p w:rsidR="00000000" w:rsidRDefault="00B95558">
            <w:pPr>
              <w:pStyle w:val="NormalWeb"/>
              <w:jc w:val="right"/>
            </w:pPr>
            <w:r>
              <w:rPr>
                <w:sz w:val="20"/>
                <w:szCs w:val="20"/>
              </w:rPr>
              <w:t>0.000</w:t>
            </w:r>
          </w:p>
        </w:tc>
        <w:tc>
          <w:tcPr>
            <w:tcW w:w="0" w:type="auto"/>
            <w:shd w:val="clear" w:color="auto" w:fill="FFFFFF"/>
            <w:vAlign w:val="center"/>
            <w:hideMark/>
          </w:tcPr>
          <w:p w:rsidR="00000000" w:rsidRDefault="00B95558">
            <w:pPr>
              <w:pStyle w:val="NormalWeb"/>
              <w:jc w:val="right"/>
            </w:pPr>
            <w:r>
              <w:rPr>
                <w:sz w:val="20"/>
                <w:szCs w:val="20"/>
              </w:rPr>
              <w:t>(0.0004)</w:t>
            </w:r>
          </w:p>
        </w:tc>
      </w:tr>
      <w:tr w:rsidR="00000000">
        <w:trPr>
          <w:tblCellSpacing w:w="15" w:type="dxa"/>
        </w:trPr>
        <w:tc>
          <w:tcPr>
            <w:tcW w:w="0" w:type="auto"/>
            <w:gridSpan w:val="5"/>
            <w:shd w:val="clear" w:color="auto" w:fill="CCFFCC"/>
            <w:vAlign w:val="center"/>
            <w:hideMark/>
          </w:tcPr>
          <w:p w:rsidR="00000000" w:rsidRDefault="00B95558">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000000" w:rsidRDefault="00B95558">
            <w:pPr>
              <w:rPr>
                <w:rFonts w:eastAsia="Times New Roman"/>
              </w:rPr>
            </w:pPr>
          </w:p>
        </w:tc>
      </w:tr>
    </w:tbl>
    <w:p w:rsidR="00000000" w:rsidRDefault="00B95558">
      <w:pPr>
        <w:pStyle w:val="NormalWeb"/>
      </w:pPr>
      <w:hyperlink w:anchor="toc" w:history="1">
        <w:r>
          <w:rPr>
            <w:rStyle w:val="Hyperlink"/>
            <w:b/>
            <w:bCs/>
            <w:sz w:val="20"/>
            <w:szCs w:val="20"/>
          </w:rPr>
          <w:t>Return to Table of Contents</w:t>
        </w:r>
      </w:hyperlink>
    </w:p>
    <w:p w:rsidR="009D695C" w:rsidRDefault="00B30F28">
      <w:pPr>
        <w:rPr>
          <w:rFonts w:eastAsia="Times New Roman"/>
        </w:rPr>
      </w:pPr>
      <w:r>
        <w:rPr>
          <w:rFonts w:eastAsia="Times New Roman"/>
        </w:rPr>
        <w:pict>
          <v:rect id="_x0000_i1034" style="width:0;height:3pt" o:hralign="center" o:hrstd="t" o:hrnoshade="t" o:hr="t" fillcolor="black" stroked="f"/>
        </w:pict>
      </w:r>
    </w:p>
    <w:p w:rsidR="009D695C" w:rsidRDefault="009D695C">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268"/>
        <w:gridCol w:w="1497"/>
        <w:gridCol w:w="1497"/>
        <w:gridCol w:w="1512"/>
      </w:tblGrid>
      <w:tr w:rsidR="00000000">
        <w:trPr>
          <w:tblCellSpacing w:w="15" w:type="dxa"/>
        </w:trPr>
        <w:tc>
          <w:tcPr>
            <w:tcW w:w="0" w:type="auto"/>
            <w:gridSpan w:val="4"/>
            <w:shd w:val="clear" w:color="auto" w:fill="CCFFCC"/>
            <w:vAlign w:val="bottom"/>
            <w:hideMark/>
          </w:tcPr>
          <w:p w:rsidR="00000000" w:rsidRDefault="00B95558">
            <w:pPr>
              <w:pStyle w:val="NormalWeb"/>
              <w:jc w:val="center"/>
            </w:pPr>
            <w:r>
              <w:rPr>
                <w:b/>
                <w:bCs/>
                <w:sz w:val="20"/>
                <w:szCs w:val="20"/>
              </w:rPr>
              <w:lastRenderedPageBreak/>
              <w:t>ADVANCED OXYGEN TECHNOLOGIES, INC.</w:t>
            </w:r>
          </w:p>
          <w:p w:rsidR="00000000" w:rsidRDefault="00B95558">
            <w:pPr>
              <w:pStyle w:val="NormalWeb"/>
              <w:jc w:val="center"/>
            </w:pPr>
            <w:r>
              <w:rPr>
                <w:b/>
                <w:bCs/>
                <w:sz w:val="20"/>
                <w:szCs w:val="20"/>
              </w:rPr>
              <w:t>AND SUBSIDIARY</w:t>
            </w:r>
          </w:p>
          <w:p w:rsidR="00000000" w:rsidRDefault="00B95558">
            <w:pPr>
              <w:pStyle w:val="NormalWeb"/>
              <w:jc w:val="center"/>
            </w:pPr>
            <w:r>
              <w:rPr>
                <w:b/>
                <w:bCs/>
                <w:sz w:val="20"/>
                <w:szCs w:val="20"/>
              </w:rPr>
              <w:t>CONSOLIDATED STATEMENTS OF STOCKHOLDERS' EQUITY (DEFICIENCY)</w:t>
            </w:r>
          </w:p>
        </w:tc>
      </w:tr>
      <w:tr w:rsidR="00000000" w:rsidTr="009D695C">
        <w:trPr>
          <w:tblCellSpacing w:w="15" w:type="dxa"/>
        </w:trPr>
        <w:tc>
          <w:tcPr>
            <w:tcW w:w="2672" w:type="pct"/>
            <w:shd w:val="clear" w:color="auto" w:fill="FFFFFF"/>
            <w:vAlign w:val="bottom"/>
            <w:hideMark/>
          </w:tcPr>
          <w:p w:rsidR="00000000" w:rsidRDefault="00B95558">
            <w:pPr>
              <w:rPr>
                <w:rFonts w:eastAsia="Times New Roman"/>
              </w:rPr>
            </w:pPr>
            <w:r>
              <w:rPr>
                <w:rFonts w:eastAsia="Times New Roman"/>
                <w:b/>
                <w:bCs/>
                <w:sz w:val="20"/>
                <w:szCs w:val="20"/>
              </w:rPr>
              <w:t> </w:t>
            </w:r>
          </w:p>
        </w:tc>
        <w:tc>
          <w:tcPr>
            <w:tcW w:w="750" w:type="pct"/>
            <w:shd w:val="clear" w:color="auto" w:fill="FFFFFF"/>
            <w:vAlign w:val="bottom"/>
            <w:hideMark/>
          </w:tcPr>
          <w:p w:rsidR="00000000" w:rsidRDefault="00B95558">
            <w:pPr>
              <w:rPr>
                <w:rFonts w:eastAsia="Times New Roman"/>
              </w:rPr>
            </w:pPr>
          </w:p>
        </w:tc>
        <w:tc>
          <w:tcPr>
            <w:tcW w:w="750" w:type="pct"/>
            <w:shd w:val="clear" w:color="auto" w:fill="FFFFFF"/>
            <w:vAlign w:val="bottom"/>
            <w:hideMark/>
          </w:tcPr>
          <w:p w:rsidR="00000000" w:rsidRDefault="00B95558">
            <w:pPr>
              <w:rPr>
                <w:rFonts w:eastAsia="Times New Roman"/>
              </w:rPr>
            </w:pPr>
          </w:p>
        </w:tc>
        <w:tc>
          <w:tcPr>
            <w:tcW w:w="750" w:type="pct"/>
            <w:shd w:val="clear" w:color="auto" w:fill="FFFFFF"/>
            <w:vAlign w:val="bottom"/>
            <w:hideMark/>
          </w:tcPr>
          <w:p w:rsidR="00000000" w:rsidRDefault="00B95558">
            <w:pPr>
              <w:rPr>
                <w:rFonts w:eastAsia="Times New Roman"/>
              </w:rPr>
            </w:pPr>
            <w:r>
              <w:rPr>
                <w:rFonts w:eastAsia="Times New Roman"/>
                <w:b/>
                <w:bCs/>
                <w:sz w:val="20"/>
                <w:szCs w:val="20"/>
              </w:rPr>
              <w:t> </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 </w:t>
            </w:r>
          </w:p>
        </w:tc>
        <w:tc>
          <w:tcPr>
            <w:tcW w:w="0" w:type="auto"/>
            <w:gridSpan w:val="2"/>
            <w:shd w:val="clear" w:color="auto" w:fill="CCFFCC"/>
            <w:vAlign w:val="bottom"/>
            <w:hideMark/>
          </w:tcPr>
          <w:p w:rsidR="00000000" w:rsidRDefault="00B95558">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000000" w:rsidRDefault="00B95558">
            <w:pPr>
              <w:jc w:val="center"/>
              <w:rPr>
                <w:rFonts w:eastAsia="Times New Roman"/>
              </w:rPr>
            </w:pPr>
            <w:r>
              <w:rPr>
                <w:rFonts w:eastAsia="Times New Roman"/>
                <w:b/>
                <w:bCs/>
                <w:sz w:val="20"/>
                <w:szCs w:val="20"/>
              </w:rPr>
              <w:t xml:space="preserve">Year Ending </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rPr>
              <w:t> </w:t>
            </w:r>
          </w:p>
        </w:tc>
        <w:tc>
          <w:tcPr>
            <w:tcW w:w="0" w:type="auto"/>
            <w:gridSpan w:val="2"/>
            <w:shd w:val="clear" w:color="auto" w:fill="FFFFFF"/>
            <w:vAlign w:val="bottom"/>
            <w:hideMark/>
          </w:tcPr>
          <w:p w:rsidR="00000000" w:rsidRDefault="00B95558">
            <w:pPr>
              <w:jc w:val="center"/>
              <w:rPr>
                <w:rFonts w:eastAsia="Times New Roman"/>
              </w:rPr>
            </w:pPr>
            <w:r>
              <w:rPr>
                <w:rFonts w:eastAsia="Times New Roman"/>
                <w:b/>
                <w:bCs/>
                <w:sz w:val="20"/>
                <w:szCs w:val="20"/>
              </w:rPr>
              <w:t>December 31,</w:t>
            </w:r>
          </w:p>
        </w:tc>
        <w:tc>
          <w:tcPr>
            <w:tcW w:w="0" w:type="auto"/>
            <w:shd w:val="clear" w:color="auto" w:fill="FFFFFF"/>
            <w:vAlign w:val="bottom"/>
            <w:hideMark/>
          </w:tcPr>
          <w:p w:rsidR="00000000" w:rsidRDefault="00B95558">
            <w:pPr>
              <w:jc w:val="center"/>
              <w:rPr>
                <w:rFonts w:eastAsia="Times New Roman"/>
              </w:rPr>
            </w:pPr>
            <w:r>
              <w:rPr>
                <w:rFonts w:eastAsia="Times New Roman"/>
                <w:b/>
                <w:bCs/>
                <w:sz w:val="20"/>
                <w:szCs w:val="20"/>
              </w:rPr>
              <w:t xml:space="preserve">June 30, </w:t>
            </w:r>
          </w:p>
        </w:tc>
      </w:tr>
      <w:tr w:rsidR="00000000">
        <w:trPr>
          <w:tblCellSpacing w:w="15" w:type="dxa"/>
        </w:trPr>
        <w:tc>
          <w:tcPr>
            <w:tcW w:w="0" w:type="auto"/>
            <w:shd w:val="clear" w:color="auto" w:fill="CCFFCC"/>
            <w:vAlign w:val="bottom"/>
            <w:hideMark/>
          </w:tcPr>
          <w:p w:rsidR="00000000" w:rsidRDefault="00B95558">
            <w:pPr>
              <w:rPr>
                <w:rFonts w:eastAsia="Times New Roman"/>
              </w:rPr>
            </w:pPr>
          </w:p>
        </w:tc>
        <w:tc>
          <w:tcPr>
            <w:tcW w:w="0" w:type="auto"/>
            <w:shd w:val="clear" w:color="auto" w:fill="CCFFCC"/>
            <w:vAlign w:val="bottom"/>
            <w:hideMark/>
          </w:tcPr>
          <w:p w:rsidR="00000000" w:rsidRDefault="00B95558">
            <w:pPr>
              <w:jc w:val="center"/>
              <w:rPr>
                <w:rFonts w:eastAsia="Times New Roman"/>
              </w:rPr>
            </w:pPr>
            <w:r>
              <w:rPr>
                <w:rFonts w:eastAsia="Times New Roman"/>
                <w:b/>
                <w:bCs/>
                <w:sz w:val="20"/>
                <w:szCs w:val="20"/>
              </w:rPr>
              <w:t>2012</w:t>
            </w:r>
          </w:p>
        </w:tc>
        <w:tc>
          <w:tcPr>
            <w:tcW w:w="0" w:type="auto"/>
            <w:shd w:val="clear" w:color="auto" w:fill="CCFFCC"/>
            <w:vAlign w:val="bottom"/>
            <w:hideMark/>
          </w:tcPr>
          <w:p w:rsidR="00000000" w:rsidRDefault="00B95558">
            <w:pPr>
              <w:jc w:val="center"/>
              <w:rPr>
                <w:rFonts w:eastAsia="Times New Roman"/>
              </w:rPr>
            </w:pPr>
            <w:r>
              <w:rPr>
                <w:rFonts w:eastAsia="Times New Roman"/>
                <w:b/>
                <w:bCs/>
                <w:sz w:val="20"/>
                <w:szCs w:val="20"/>
              </w:rPr>
              <w:t>2011</w:t>
            </w:r>
          </w:p>
        </w:tc>
        <w:tc>
          <w:tcPr>
            <w:tcW w:w="0" w:type="auto"/>
            <w:shd w:val="clear" w:color="auto" w:fill="CCFFCC"/>
            <w:vAlign w:val="bottom"/>
            <w:hideMark/>
          </w:tcPr>
          <w:p w:rsidR="00000000" w:rsidRDefault="00B95558">
            <w:pPr>
              <w:jc w:val="center"/>
              <w:rPr>
                <w:rFonts w:eastAsia="Times New Roman"/>
              </w:rPr>
            </w:pPr>
            <w:r>
              <w:rPr>
                <w:rFonts w:eastAsia="Times New Roman"/>
                <w:b/>
                <w:bCs/>
                <w:sz w:val="20"/>
                <w:szCs w:val="20"/>
              </w:rPr>
              <w:t>2012</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gridSpan w:val="2"/>
            <w:shd w:val="clear" w:color="auto" w:fill="CCFFCC"/>
            <w:vAlign w:val="bottom"/>
            <w:hideMark/>
          </w:tcPr>
          <w:p w:rsidR="00000000" w:rsidRDefault="00B95558">
            <w:pPr>
              <w:jc w:val="center"/>
              <w:rPr>
                <w:rFonts w:eastAsia="Times New Roman"/>
              </w:rPr>
            </w:pPr>
            <w:r>
              <w:rPr>
                <w:rFonts w:eastAsia="Times New Roman"/>
                <w:b/>
                <w:bCs/>
                <w:sz w:val="20"/>
                <w:szCs w:val="20"/>
              </w:rPr>
              <w:t>Unaudited</w:t>
            </w:r>
          </w:p>
          <w:p w:rsidR="00000000" w:rsidRDefault="00B30F28">
            <w:pPr>
              <w:jc w:val="center"/>
              <w:rPr>
                <w:rFonts w:eastAsia="Times New Roman"/>
              </w:rPr>
            </w:pPr>
            <w:r>
              <w:rPr>
                <w:rFonts w:eastAsia="Times New Roman"/>
              </w:rPr>
              <w:pict>
                <v:rect id="_x0000_i1035" style="width:0;height:1.5pt" o:hralign="center" o:hrstd="t" o:hr="t" fillcolor="#aca899" stroked="f"/>
              </w:pict>
            </w:r>
          </w:p>
        </w:tc>
        <w:tc>
          <w:tcPr>
            <w:tcW w:w="0" w:type="auto"/>
            <w:shd w:val="clear" w:color="auto" w:fill="CCFFCC"/>
            <w:vAlign w:val="bottom"/>
            <w:hideMark/>
          </w:tcPr>
          <w:p w:rsidR="00000000" w:rsidRDefault="00B95558">
            <w:pPr>
              <w:jc w:val="center"/>
              <w:rPr>
                <w:rFonts w:eastAsia="Times New Roman"/>
              </w:rPr>
            </w:pPr>
            <w:r>
              <w:rPr>
                <w:rFonts w:eastAsia="Times New Roman"/>
                <w:b/>
                <w:bCs/>
                <w:sz w:val="20"/>
                <w:szCs w:val="20"/>
              </w:rPr>
              <w:t>Audited</w:t>
            </w:r>
          </w:p>
          <w:p w:rsidR="00000000" w:rsidRDefault="00B30F28">
            <w:pPr>
              <w:jc w:val="center"/>
              <w:rPr>
                <w:rFonts w:eastAsia="Times New Roman"/>
              </w:rPr>
            </w:pPr>
            <w:r>
              <w:rPr>
                <w:rFonts w:eastAsia="Times New Roman"/>
              </w:rPr>
              <w:pict>
                <v:rect id="_x0000_i1036" style="width:0;height:1.5pt" o:hralign="center" o:hrstd="t" o:hr="t" fillcolor="#aca899" stroked="f"/>
              </w:pic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r>
              <w:rPr>
                <w:rFonts w:eastAsia="Times New Roman"/>
                <w:sz w:val="20"/>
                <w:szCs w:val="20"/>
              </w:rPr>
              <w:t>Balance at beginning and end of period 46,973,585</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469,736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469,736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469,736</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20,497,769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20,497,769</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20,497,769</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Accumulated deficit:</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(20,717,106)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(20,718,292)</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(20,718,292)</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(7,671)</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(1,563)</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(19,643)</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Balance at end of period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(20,724,778)</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(20,713,994)</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(20,737,935)</w:t>
            </w:r>
          </w:p>
        </w:tc>
      </w:tr>
      <w:tr w:rsidR="00000000">
        <w:trPr>
          <w:tblCellSpacing w:w="15" w:type="dxa"/>
        </w:trPr>
        <w:tc>
          <w:tcPr>
            <w:tcW w:w="0" w:type="auto"/>
            <w:shd w:val="clear" w:color="auto" w:fill="FFFFFF"/>
            <w:vAlign w:val="bottom"/>
            <w:hideMark/>
          </w:tcPr>
          <w:p w:rsidR="00000000" w:rsidRDefault="00B95558">
            <w:pPr>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c>
          <w:tcPr>
            <w:tcW w:w="0" w:type="auto"/>
            <w:shd w:val="clear" w:color="auto" w:fill="FFFFFF"/>
            <w:vAlign w:val="bottom"/>
            <w:hideMark/>
          </w:tcPr>
          <w:p w:rsidR="00000000" w:rsidRDefault="00B95558">
            <w:pPr>
              <w:jc w:val="right"/>
              <w:rPr>
                <w:rFonts w:eastAsia="Times New Roman"/>
              </w:rPr>
            </w:pP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Rounding:</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(1)</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 </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9,466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9,466</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  9,466</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vAlign w:val="bottom"/>
            <w:hideMark/>
          </w:tcPr>
          <w:p w:rsidR="00000000" w:rsidRDefault="00B95558">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252,193</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261,415</w:t>
            </w:r>
          </w:p>
        </w:tc>
        <w:tc>
          <w:tcPr>
            <w:tcW w:w="0" w:type="auto"/>
            <w:shd w:val="clear" w:color="auto" w:fill="FFFFFF"/>
            <w:vAlign w:val="bottom"/>
            <w:hideMark/>
          </w:tcPr>
          <w:p w:rsidR="00000000" w:rsidRDefault="00B95558">
            <w:pPr>
              <w:jc w:val="right"/>
              <w:rPr>
                <w:rFonts w:eastAsia="Times New Roman"/>
              </w:rPr>
            </w:pPr>
            <w:r>
              <w:rPr>
                <w:rFonts w:eastAsia="Times New Roman"/>
                <w:sz w:val="20"/>
                <w:szCs w:val="20"/>
              </w:rPr>
              <w:t>258,679</w:t>
            </w:r>
          </w:p>
        </w:tc>
      </w:tr>
      <w:tr w:rsidR="00000000">
        <w:trPr>
          <w:tblCellSpacing w:w="15" w:type="dxa"/>
        </w:trPr>
        <w:tc>
          <w:tcPr>
            <w:tcW w:w="0" w:type="auto"/>
            <w:shd w:val="clear" w:color="auto" w:fill="CCFFCC"/>
            <w:vAlign w:val="bottom"/>
            <w:hideMark/>
          </w:tcPr>
          <w:p w:rsidR="00000000" w:rsidRDefault="00B95558">
            <w:pPr>
              <w:rPr>
                <w:rFonts w:eastAsia="Times New Roman"/>
              </w:rPr>
            </w:pPr>
            <w:r>
              <w:rPr>
                <w:rFonts w:eastAsia="Times New Roman"/>
                <w:sz w:val="20"/>
                <w:szCs w:val="20"/>
              </w:rPr>
              <w:t> </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gridSpan w:val="4"/>
            <w:shd w:val="clear" w:color="auto" w:fill="FFFFFF"/>
            <w:vAlign w:val="bottom"/>
            <w:hideMark/>
          </w:tcPr>
          <w:p w:rsidR="00000000" w:rsidRDefault="00B95558">
            <w:pPr>
              <w:jc w:val="center"/>
              <w:rPr>
                <w:rFonts w:eastAsia="Times New Roman"/>
              </w:rPr>
            </w:pPr>
            <w:r>
              <w:rPr>
                <w:rFonts w:eastAsia="Times New Roman"/>
                <w:b/>
                <w:bCs/>
                <w:sz w:val="20"/>
                <w:szCs w:val="20"/>
              </w:rPr>
              <w:t>See accompanying notes to financial statements.</w:t>
            </w:r>
          </w:p>
        </w:tc>
      </w:tr>
    </w:tbl>
    <w:p w:rsidR="00000000" w:rsidRDefault="00B95558">
      <w:pPr>
        <w:pStyle w:val="NormalWeb"/>
      </w:pPr>
      <w:hyperlink w:anchor="toc" w:history="1">
        <w:r>
          <w:rPr>
            <w:rStyle w:val="Hyperlink"/>
            <w:b/>
            <w:bCs/>
            <w:sz w:val="20"/>
            <w:szCs w:val="20"/>
          </w:rPr>
          <w:t>Return to Table of Contents</w:t>
        </w:r>
      </w:hyperlink>
    </w:p>
    <w:p w:rsidR="009D695C" w:rsidRDefault="00B30F28">
      <w:pPr>
        <w:rPr>
          <w:rFonts w:eastAsia="Times New Roman"/>
        </w:rPr>
      </w:pPr>
      <w:r>
        <w:rPr>
          <w:rFonts w:eastAsia="Times New Roman"/>
        </w:rPr>
        <w:pict>
          <v:rect id="_x0000_i1037" style="width:0;height:3pt" o:hralign="center" o:hrstd="t" o:hrnoshade="t" o:hr="t" fillcolor="black" stroked="f"/>
        </w:pict>
      </w:r>
    </w:p>
    <w:p w:rsidR="009D695C" w:rsidRDefault="009D695C">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802"/>
        <w:gridCol w:w="990"/>
        <w:gridCol w:w="989"/>
        <w:gridCol w:w="989"/>
        <w:gridCol w:w="1004"/>
      </w:tblGrid>
      <w:tr w:rsidR="00000000">
        <w:trPr>
          <w:tblCellSpacing w:w="15" w:type="dxa"/>
        </w:trPr>
        <w:tc>
          <w:tcPr>
            <w:tcW w:w="0" w:type="auto"/>
            <w:gridSpan w:val="5"/>
            <w:shd w:val="clear" w:color="auto" w:fill="CCFFCC"/>
            <w:hideMark/>
          </w:tcPr>
          <w:p w:rsidR="00000000" w:rsidRDefault="00B95558">
            <w:pPr>
              <w:pStyle w:val="NormalWeb"/>
              <w:jc w:val="center"/>
            </w:pPr>
            <w:r>
              <w:rPr>
                <w:b/>
                <w:bCs/>
                <w:sz w:val="20"/>
                <w:szCs w:val="20"/>
              </w:rPr>
              <w:lastRenderedPageBreak/>
              <w:t>ADVANCED OXYGEN TECHNOLOGIES, INC.</w:t>
            </w:r>
          </w:p>
        </w:tc>
      </w:tr>
      <w:tr w:rsidR="00000000">
        <w:trPr>
          <w:tblCellSpacing w:w="15" w:type="dxa"/>
        </w:trPr>
        <w:tc>
          <w:tcPr>
            <w:tcW w:w="0" w:type="auto"/>
            <w:gridSpan w:val="5"/>
            <w:shd w:val="clear" w:color="auto" w:fill="FFFFFF"/>
            <w:hideMark/>
          </w:tcPr>
          <w:p w:rsidR="00000000" w:rsidRDefault="00B95558">
            <w:pPr>
              <w:jc w:val="center"/>
              <w:rPr>
                <w:rFonts w:eastAsia="Times New Roman"/>
              </w:rPr>
            </w:pPr>
            <w:r>
              <w:rPr>
                <w:rFonts w:eastAsia="Times New Roman"/>
                <w:b/>
                <w:bCs/>
                <w:sz w:val="20"/>
                <w:szCs w:val="20"/>
              </w:rPr>
              <w:t xml:space="preserve">Consolidated Statement of Cash </w:t>
            </w:r>
            <w:r>
              <w:rPr>
                <w:rFonts w:eastAsia="Times New Roman"/>
                <w:b/>
                <w:bCs/>
                <w:sz w:val="20"/>
                <w:szCs w:val="20"/>
              </w:rPr>
              <w:t>Flow </w:t>
            </w:r>
          </w:p>
        </w:tc>
      </w:tr>
      <w:tr w:rsidR="00000000" w:rsidTr="009D695C">
        <w:trPr>
          <w:tblCellSpacing w:w="15" w:type="dxa"/>
        </w:trPr>
        <w:tc>
          <w:tcPr>
            <w:tcW w:w="2945" w:type="pct"/>
            <w:shd w:val="clear" w:color="auto" w:fill="CCFFCC"/>
            <w:hideMark/>
          </w:tcPr>
          <w:p w:rsidR="00000000" w:rsidRDefault="00B95558">
            <w:pPr>
              <w:rPr>
                <w:rFonts w:eastAsia="Times New Roman"/>
              </w:rPr>
            </w:pPr>
          </w:p>
        </w:tc>
        <w:tc>
          <w:tcPr>
            <w:tcW w:w="491" w:type="pct"/>
            <w:shd w:val="clear" w:color="auto" w:fill="CCFFCC"/>
            <w:hideMark/>
          </w:tcPr>
          <w:p w:rsidR="00000000" w:rsidRDefault="00B95558">
            <w:pPr>
              <w:rPr>
                <w:rFonts w:eastAsia="Times New Roman"/>
              </w:rPr>
            </w:pPr>
          </w:p>
        </w:tc>
        <w:tc>
          <w:tcPr>
            <w:tcW w:w="491" w:type="pct"/>
            <w:shd w:val="clear" w:color="auto" w:fill="CCFFCC"/>
            <w:hideMark/>
          </w:tcPr>
          <w:p w:rsidR="00000000" w:rsidRDefault="00B95558">
            <w:pPr>
              <w:rPr>
                <w:rFonts w:eastAsia="Times New Roman"/>
              </w:rPr>
            </w:pPr>
          </w:p>
        </w:tc>
        <w:tc>
          <w:tcPr>
            <w:tcW w:w="491" w:type="pct"/>
            <w:shd w:val="clear" w:color="auto" w:fill="CCFFCC"/>
            <w:hideMark/>
          </w:tcPr>
          <w:p w:rsidR="00000000" w:rsidRDefault="00B95558">
            <w:pPr>
              <w:rPr>
                <w:rFonts w:eastAsia="Times New Roman"/>
              </w:rPr>
            </w:pPr>
          </w:p>
        </w:tc>
        <w:tc>
          <w:tcPr>
            <w:tcW w:w="491" w:type="pct"/>
            <w:shd w:val="clear" w:color="auto" w:fill="CCFFCC"/>
            <w:hideMark/>
          </w:tcPr>
          <w:p w:rsidR="00000000" w:rsidRDefault="00B95558">
            <w:pPr>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p>
        </w:tc>
        <w:tc>
          <w:tcPr>
            <w:tcW w:w="0" w:type="auto"/>
            <w:gridSpan w:val="2"/>
            <w:shd w:val="clear" w:color="auto" w:fill="FFFFFF"/>
            <w:hideMark/>
          </w:tcPr>
          <w:p w:rsidR="00000000" w:rsidRDefault="00B95558">
            <w:pPr>
              <w:pStyle w:val="NormalWeb"/>
              <w:jc w:val="center"/>
            </w:pPr>
            <w:r>
              <w:rPr>
                <w:sz w:val="20"/>
                <w:szCs w:val="20"/>
              </w:rPr>
              <w:t>3 Month Period Ending December 31,</w:t>
            </w:r>
          </w:p>
        </w:tc>
        <w:tc>
          <w:tcPr>
            <w:tcW w:w="0" w:type="auto"/>
            <w:gridSpan w:val="2"/>
            <w:shd w:val="clear" w:color="auto" w:fill="FFFFFF"/>
            <w:hideMark/>
          </w:tcPr>
          <w:p w:rsidR="00000000" w:rsidRDefault="00B95558">
            <w:pPr>
              <w:pStyle w:val="NormalWeb"/>
              <w:jc w:val="center"/>
            </w:pPr>
            <w:r>
              <w:rPr>
                <w:sz w:val="20"/>
                <w:szCs w:val="20"/>
              </w:rPr>
              <w:t>6 Month Period Ending December 31,</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gridSpan w:val="2"/>
            <w:shd w:val="clear" w:color="auto" w:fill="CCFFCC"/>
            <w:hideMark/>
          </w:tcPr>
          <w:p w:rsidR="00000000" w:rsidRDefault="00B95558">
            <w:pPr>
              <w:pStyle w:val="NormalWeb"/>
              <w:jc w:val="center"/>
            </w:pPr>
            <w:r>
              <w:rPr>
                <w:b/>
                <w:bCs/>
                <w:sz w:val="20"/>
                <w:szCs w:val="20"/>
              </w:rPr>
              <w:t xml:space="preserve">(unaudited) </w:t>
            </w:r>
          </w:p>
        </w:tc>
        <w:tc>
          <w:tcPr>
            <w:tcW w:w="0" w:type="auto"/>
            <w:gridSpan w:val="2"/>
            <w:shd w:val="clear" w:color="auto" w:fill="CCFFCC"/>
            <w:hideMark/>
          </w:tcPr>
          <w:p w:rsidR="00000000" w:rsidRDefault="00B95558">
            <w:pPr>
              <w:pStyle w:val="NormalWeb"/>
              <w:jc w:val="center"/>
            </w:pPr>
            <w:r>
              <w:rPr>
                <w:b/>
                <w:bCs/>
                <w:sz w:val="20"/>
                <w:szCs w:val="20"/>
              </w:rPr>
              <w:t xml:space="preserve">(unaudited) </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 </w:t>
            </w:r>
          </w:p>
        </w:tc>
        <w:tc>
          <w:tcPr>
            <w:tcW w:w="0" w:type="auto"/>
            <w:shd w:val="clear" w:color="auto" w:fill="FFFFFF"/>
            <w:hideMark/>
          </w:tcPr>
          <w:p w:rsidR="00000000" w:rsidRDefault="00B95558">
            <w:pPr>
              <w:pStyle w:val="NormalWeb"/>
              <w:jc w:val="right"/>
            </w:pPr>
            <w:r>
              <w:rPr>
                <w:b/>
                <w:bCs/>
                <w:sz w:val="20"/>
                <w:szCs w:val="20"/>
              </w:rPr>
              <w:t>20122</w:t>
            </w:r>
          </w:p>
        </w:tc>
        <w:tc>
          <w:tcPr>
            <w:tcW w:w="0" w:type="auto"/>
            <w:shd w:val="clear" w:color="auto" w:fill="FFFFFF"/>
            <w:hideMark/>
          </w:tcPr>
          <w:p w:rsidR="00000000" w:rsidRDefault="00B95558">
            <w:pPr>
              <w:pStyle w:val="NormalWeb"/>
              <w:jc w:val="right"/>
            </w:pPr>
            <w:r>
              <w:rPr>
                <w:b/>
                <w:bCs/>
                <w:sz w:val="20"/>
                <w:szCs w:val="20"/>
              </w:rPr>
              <w:t>2011</w:t>
            </w:r>
          </w:p>
        </w:tc>
        <w:tc>
          <w:tcPr>
            <w:tcW w:w="0" w:type="auto"/>
            <w:shd w:val="clear" w:color="auto" w:fill="FFFFFF"/>
            <w:hideMark/>
          </w:tcPr>
          <w:p w:rsidR="00000000" w:rsidRDefault="00B95558">
            <w:pPr>
              <w:jc w:val="right"/>
              <w:rPr>
                <w:rFonts w:eastAsia="Times New Roman"/>
              </w:rPr>
            </w:pPr>
            <w:r>
              <w:rPr>
                <w:rFonts w:eastAsia="Times New Roman"/>
                <w:b/>
                <w:bCs/>
                <w:sz w:val="20"/>
                <w:szCs w:val="20"/>
              </w:rPr>
              <w:t>2012</w:t>
            </w:r>
          </w:p>
        </w:tc>
        <w:tc>
          <w:tcPr>
            <w:tcW w:w="0" w:type="auto"/>
            <w:shd w:val="clear" w:color="auto" w:fill="FFFFFF"/>
            <w:hideMark/>
          </w:tcPr>
          <w:p w:rsidR="00000000" w:rsidRDefault="00B95558">
            <w:pPr>
              <w:pStyle w:val="NormalWeb"/>
              <w:jc w:val="right"/>
            </w:pPr>
            <w:r>
              <w:rPr>
                <w:b/>
                <w:bCs/>
                <w:sz w:val="20"/>
                <w:szCs w:val="20"/>
              </w:rPr>
              <w:t>2011</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b/>
                <w:bCs/>
                <w:sz w:val="20"/>
                <w:szCs w:val="20"/>
              </w:rPr>
              <w:t>Cash flow from operating activities</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Net Income (Loss)</w:t>
            </w:r>
          </w:p>
        </w:tc>
        <w:tc>
          <w:tcPr>
            <w:tcW w:w="0" w:type="auto"/>
            <w:shd w:val="clear" w:color="auto" w:fill="FFFFFF"/>
            <w:hideMark/>
          </w:tcPr>
          <w:p w:rsidR="00000000" w:rsidRDefault="00B95558">
            <w:pPr>
              <w:jc w:val="right"/>
              <w:rPr>
                <w:rFonts w:eastAsia="Times New Roman"/>
              </w:rPr>
            </w:pPr>
            <w:r>
              <w:rPr>
                <w:rFonts w:eastAsia="Times New Roman"/>
                <w:sz w:val="20"/>
                <w:szCs w:val="20"/>
              </w:rPr>
              <w:t>(7,671)</w:t>
            </w:r>
          </w:p>
        </w:tc>
        <w:tc>
          <w:tcPr>
            <w:tcW w:w="0" w:type="auto"/>
            <w:shd w:val="clear" w:color="auto" w:fill="FFFFFF"/>
            <w:hideMark/>
          </w:tcPr>
          <w:p w:rsidR="00000000" w:rsidRDefault="00B95558">
            <w:pPr>
              <w:jc w:val="right"/>
              <w:rPr>
                <w:rFonts w:eastAsia="Times New Roman"/>
              </w:rPr>
            </w:pPr>
            <w:r>
              <w:rPr>
                <w:rFonts w:eastAsia="Times New Roman"/>
                <w:sz w:val="20"/>
                <w:szCs w:val="20"/>
              </w:rPr>
              <w:t>(1,563)</w:t>
            </w:r>
          </w:p>
        </w:tc>
        <w:tc>
          <w:tcPr>
            <w:tcW w:w="0" w:type="auto"/>
            <w:shd w:val="clear" w:color="auto" w:fill="FFFFFF"/>
            <w:hideMark/>
          </w:tcPr>
          <w:p w:rsidR="00000000" w:rsidRDefault="00B95558">
            <w:pPr>
              <w:jc w:val="right"/>
              <w:rPr>
                <w:rFonts w:eastAsia="Times New Roman"/>
              </w:rPr>
            </w:pPr>
            <w:r>
              <w:rPr>
                <w:rFonts w:eastAsia="Times New Roman"/>
                <w:sz w:val="20"/>
                <w:szCs w:val="20"/>
              </w:rPr>
              <w:t>13,158</w:t>
            </w:r>
          </w:p>
        </w:tc>
        <w:tc>
          <w:tcPr>
            <w:tcW w:w="0" w:type="auto"/>
            <w:shd w:val="clear" w:color="auto" w:fill="FFFFFF"/>
            <w:hideMark/>
          </w:tcPr>
          <w:p w:rsidR="00000000" w:rsidRDefault="00B95558">
            <w:pPr>
              <w:jc w:val="right"/>
              <w:rPr>
                <w:rFonts w:eastAsia="Times New Roman"/>
              </w:rPr>
            </w:pPr>
            <w:r>
              <w:rPr>
                <w:rFonts w:eastAsia="Times New Roman"/>
                <w:sz w:val="20"/>
                <w:szCs w:val="20"/>
              </w:rPr>
              <w:t>2,736</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7,547</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Accounts Payable and Accrued Expenses</w:t>
            </w:r>
          </w:p>
        </w:tc>
        <w:tc>
          <w:tcPr>
            <w:tcW w:w="0" w:type="auto"/>
            <w:shd w:val="clear" w:color="auto" w:fill="FFFFFF"/>
            <w:hideMark/>
          </w:tcPr>
          <w:p w:rsidR="00000000" w:rsidRDefault="00B95558">
            <w:pPr>
              <w:jc w:val="right"/>
              <w:rPr>
                <w:rFonts w:eastAsia="Times New Roman"/>
              </w:rPr>
            </w:pPr>
            <w:r>
              <w:rPr>
                <w:rFonts w:eastAsia="Times New Roman"/>
                <w:sz w:val="20"/>
                <w:szCs w:val="20"/>
              </w:rPr>
              <w:t>10,302</w:t>
            </w:r>
          </w:p>
        </w:tc>
        <w:tc>
          <w:tcPr>
            <w:tcW w:w="0" w:type="auto"/>
            <w:shd w:val="clear" w:color="auto" w:fill="FFFFFF"/>
            <w:hideMark/>
          </w:tcPr>
          <w:p w:rsidR="00000000" w:rsidRDefault="00B95558">
            <w:pPr>
              <w:jc w:val="right"/>
              <w:rPr>
                <w:rFonts w:eastAsia="Times New Roman"/>
              </w:rPr>
            </w:pPr>
            <w:r>
              <w:rPr>
                <w:rFonts w:eastAsia="Times New Roman"/>
                <w:sz w:val="20"/>
                <w:szCs w:val="20"/>
              </w:rPr>
              <w:t>7,547</w:t>
            </w:r>
          </w:p>
        </w:tc>
        <w:tc>
          <w:tcPr>
            <w:tcW w:w="0" w:type="auto"/>
            <w:shd w:val="clear" w:color="auto" w:fill="FFFFFF"/>
            <w:hideMark/>
          </w:tcPr>
          <w:p w:rsidR="00000000" w:rsidRDefault="00B95558">
            <w:pPr>
              <w:jc w:val="right"/>
              <w:rPr>
                <w:rFonts w:eastAsia="Times New Roman"/>
              </w:rPr>
            </w:pPr>
            <w:r>
              <w:rPr>
                <w:rFonts w:eastAsia="Times New Roman"/>
                <w:sz w:val="20"/>
                <w:szCs w:val="20"/>
              </w:rPr>
              <w:t>6,912</w:t>
            </w:r>
          </w:p>
        </w:tc>
        <w:tc>
          <w:tcPr>
            <w:tcW w:w="0" w:type="auto"/>
            <w:shd w:val="clear" w:color="auto" w:fill="FFFFFF"/>
            <w:hideMark/>
          </w:tcPr>
          <w:p w:rsidR="00000000" w:rsidRDefault="00B95558">
            <w:pPr>
              <w:jc w:val="right"/>
              <w:rPr>
                <w:rFonts w:eastAsia="Times New Roman"/>
              </w:rPr>
            </w:pPr>
            <w:r>
              <w:rPr>
                <w:rFonts w:eastAsia="Times New Roman"/>
                <w:sz w:val="20"/>
                <w:szCs w:val="20"/>
              </w:rPr>
              <w:t>7,547</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Taxes Payable</w:t>
            </w:r>
          </w:p>
        </w:tc>
        <w:tc>
          <w:tcPr>
            <w:tcW w:w="0" w:type="auto"/>
            <w:shd w:val="clear" w:color="auto" w:fill="CCFFCC"/>
            <w:hideMark/>
          </w:tcPr>
          <w:p w:rsidR="00000000" w:rsidRDefault="00B95558">
            <w:pPr>
              <w:jc w:val="right"/>
              <w:rPr>
                <w:rFonts w:eastAsia="Times New Roman"/>
              </w:rPr>
            </w:pPr>
            <w:r>
              <w:rPr>
                <w:rFonts w:eastAsia="Times New Roman"/>
                <w:sz w:val="20"/>
                <w:szCs w:val="20"/>
              </w:rPr>
              <w:t>2,569</w:t>
            </w:r>
          </w:p>
        </w:tc>
        <w:tc>
          <w:tcPr>
            <w:tcW w:w="0" w:type="auto"/>
            <w:shd w:val="clear" w:color="auto" w:fill="CCFFCC"/>
            <w:hideMark/>
          </w:tcPr>
          <w:p w:rsidR="00000000" w:rsidRDefault="00B95558">
            <w:pPr>
              <w:jc w:val="right"/>
              <w:rPr>
                <w:rFonts w:eastAsia="Times New Roman"/>
              </w:rPr>
            </w:pPr>
            <w:r>
              <w:rPr>
                <w:rFonts w:eastAsia="Times New Roman"/>
                <w:sz w:val="20"/>
                <w:szCs w:val="20"/>
              </w:rPr>
              <w:t>(2,998)</w:t>
            </w:r>
          </w:p>
        </w:tc>
        <w:tc>
          <w:tcPr>
            <w:tcW w:w="0" w:type="auto"/>
            <w:shd w:val="clear" w:color="auto" w:fill="CCFFCC"/>
            <w:hideMark/>
          </w:tcPr>
          <w:p w:rsidR="00000000" w:rsidRDefault="00B95558">
            <w:pPr>
              <w:jc w:val="right"/>
              <w:rPr>
                <w:rFonts w:eastAsia="Times New Roman"/>
              </w:rPr>
            </w:pPr>
            <w:r>
              <w:rPr>
                <w:rFonts w:eastAsia="Times New Roman"/>
                <w:sz w:val="20"/>
                <w:szCs w:val="20"/>
              </w:rPr>
              <w:t>3,066</w:t>
            </w:r>
          </w:p>
        </w:tc>
        <w:tc>
          <w:tcPr>
            <w:tcW w:w="0" w:type="auto"/>
            <w:shd w:val="clear" w:color="auto" w:fill="CCFFCC"/>
            <w:hideMark/>
          </w:tcPr>
          <w:p w:rsidR="00000000" w:rsidRDefault="00B95558">
            <w:pPr>
              <w:jc w:val="right"/>
              <w:rPr>
                <w:rFonts w:eastAsia="Times New Roman"/>
              </w:rPr>
            </w:pPr>
            <w:r>
              <w:rPr>
                <w:rFonts w:eastAsia="Times New Roman"/>
                <w:sz w:val="20"/>
                <w:szCs w:val="20"/>
              </w:rPr>
              <w:t>(5,380)</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Notes Payable</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(16,949)</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Current Bank Liability</w:t>
            </w:r>
          </w:p>
        </w:tc>
        <w:tc>
          <w:tcPr>
            <w:tcW w:w="0" w:type="auto"/>
            <w:shd w:val="clear" w:color="auto" w:fill="FFFFFF"/>
            <w:hideMark/>
          </w:tcPr>
          <w:p w:rsidR="00000000" w:rsidRDefault="00B95558">
            <w:pPr>
              <w:jc w:val="right"/>
              <w:rPr>
                <w:rFonts w:eastAsia="Times New Roman"/>
              </w:rPr>
            </w:pPr>
            <w:r>
              <w:rPr>
                <w:rFonts w:eastAsia="Times New Roman"/>
                <w:sz w:val="20"/>
                <w:szCs w:val="20"/>
              </w:rPr>
              <w:t>(2,642)</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(232)</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Current Portion of Long Term Debt</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(29.089)</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(27,802)</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Total Adjustments</w:t>
            </w:r>
          </w:p>
        </w:tc>
        <w:tc>
          <w:tcPr>
            <w:tcW w:w="0" w:type="auto"/>
            <w:shd w:val="clear" w:color="auto" w:fill="CCFFCC"/>
            <w:hideMark/>
          </w:tcPr>
          <w:p w:rsidR="00000000" w:rsidRDefault="00B95558">
            <w:pPr>
              <w:jc w:val="right"/>
              <w:rPr>
                <w:rFonts w:eastAsia="Times New Roman"/>
              </w:rPr>
            </w:pPr>
            <w:r>
              <w:rPr>
                <w:rFonts w:eastAsia="Times New Roman"/>
                <w:sz w:val="20"/>
                <w:szCs w:val="20"/>
              </w:rPr>
              <w:t>10,229</w:t>
            </w:r>
          </w:p>
        </w:tc>
        <w:tc>
          <w:tcPr>
            <w:tcW w:w="0" w:type="auto"/>
            <w:shd w:val="clear" w:color="auto" w:fill="CCFFCC"/>
            <w:hideMark/>
          </w:tcPr>
          <w:p w:rsidR="00000000" w:rsidRDefault="00B95558">
            <w:pPr>
              <w:jc w:val="right"/>
              <w:rPr>
                <w:rFonts w:eastAsia="Times New Roman"/>
              </w:rPr>
            </w:pPr>
            <w:r>
              <w:rPr>
                <w:rFonts w:eastAsia="Times New Roman"/>
                <w:sz w:val="20"/>
                <w:szCs w:val="20"/>
              </w:rPr>
              <w:t>(24,540)</w:t>
            </w:r>
          </w:p>
        </w:tc>
        <w:tc>
          <w:tcPr>
            <w:tcW w:w="0" w:type="auto"/>
            <w:shd w:val="clear" w:color="auto" w:fill="CCFFCC"/>
            <w:hideMark/>
          </w:tcPr>
          <w:p w:rsidR="00000000" w:rsidRDefault="00B95558">
            <w:pPr>
              <w:jc w:val="right"/>
              <w:rPr>
                <w:rFonts w:eastAsia="Times New Roman"/>
              </w:rPr>
            </w:pPr>
            <w:r>
              <w:rPr>
                <w:rFonts w:eastAsia="Times New Roman"/>
                <w:sz w:val="20"/>
                <w:szCs w:val="20"/>
              </w:rPr>
              <w:t>(8,497)</w:t>
            </w:r>
          </w:p>
        </w:tc>
        <w:tc>
          <w:tcPr>
            <w:tcW w:w="0" w:type="auto"/>
            <w:shd w:val="clear" w:color="auto" w:fill="CCFFCC"/>
            <w:hideMark/>
          </w:tcPr>
          <w:p w:rsidR="00000000" w:rsidRDefault="00B95558">
            <w:pPr>
              <w:jc w:val="right"/>
              <w:rPr>
                <w:rFonts w:eastAsia="Times New Roman"/>
              </w:rPr>
            </w:pPr>
            <w:r>
              <w:rPr>
                <w:rFonts w:eastAsia="Times New Roman"/>
                <w:sz w:val="20"/>
                <w:szCs w:val="20"/>
              </w:rPr>
              <w:t>(18,088)</w:t>
            </w:r>
          </w:p>
        </w:tc>
      </w:tr>
      <w:tr w:rsidR="00000000">
        <w:trPr>
          <w:tblCellSpacing w:w="15" w:type="dxa"/>
        </w:trPr>
        <w:tc>
          <w:tcPr>
            <w:tcW w:w="0" w:type="auto"/>
            <w:shd w:val="clear" w:color="auto" w:fill="CCFFCC"/>
            <w:hideMark/>
          </w:tcPr>
          <w:p w:rsidR="00000000" w:rsidRDefault="00B95558">
            <w:pPr>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Net Cash provided (used) by operations</w:t>
            </w:r>
          </w:p>
        </w:tc>
        <w:tc>
          <w:tcPr>
            <w:tcW w:w="0" w:type="auto"/>
            <w:shd w:val="clear" w:color="auto" w:fill="FFFFFF"/>
            <w:hideMark/>
          </w:tcPr>
          <w:p w:rsidR="00000000" w:rsidRDefault="00B95558">
            <w:pPr>
              <w:jc w:val="right"/>
              <w:rPr>
                <w:rFonts w:eastAsia="Times New Roman"/>
              </w:rPr>
            </w:pPr>
            <w:r>
              <w:rPr>
                <w:rFonts w:eastAsia="Times New Roman"/>
                <w:sz w:val="20"/>
                <w:szCs w:val="20"/>
              </w:rPr>
              <w:t>2,558</w:t>
            </w:r>
          </w:p>
        </w:tc>
        <w:tc>
          <w:tcPr>
            <w:tcW w:w="0" w:type="auto"/>
            <w:shd w:val="clear" w:color="auto" w:fill="FFFFFF"/>
            <w:hideMark/>
          </w:tcPr>
          <w:p w:rsidR="00000000" w:rsidRDefault="00B95558">
            <w:pPr>
              <w:jc w:val="right"/>
              <w:rPr>
                <w:rFonts w:eastAsia="Times New Roman"/>
              </w:rPr>
            </w:pPr>
            <w:r>
              <w:rPr>
                <w:rFonts w:eastAsia="Times New Roman"/>
                <w:sz w:val="20"/>
                <w:szCs w:val="20"/>
              </w:rPr>
              <w:t>(26,103)</w:t>
            </w:r>
          </w:p>
        </w:tc>
        <w:tc>
          <w:tcPr>
            <w:tcW w:w="0" w:type="auto"/>
            <w:shd w:val="clear" w:color="auto" w:fill="FFFFFF"/>
            <w:hideMark/>
          </w:tcPr>
          <w:p w:rsidR="00000000" w:rsidRDefault="00B95558">
            <w:pPr>
              <w:jc w:val="right"/>
              <w:rPr>
                <w:rFonts w:eastAsia="Times New Roman"/>
              </w:rPr>
            </w:pPr>
            <w:r>
              <w:rPr>
                <w:rFonts w:eastAsia="Times New Roman"/>
                <w:sz w:val="20"/>
                <w:szCs w:val="20"/>
              </w:rPr>
              <w:t>4,661</w:t>
            </w:r>
          </w:p>
        </w:tc>
        <w:tc>
          <w:tcPr>
            <w:tcW w:w="0" w:type="auto"/>
            <w:shd w:val="clear" w:color="auto" w:fill="FFFFFF"/>
            <w:hideMark/>
          </w:tcPr>
          <w:p w:rsidR="00000000" w:rsidRDefault="00B95558">
            <w:pPr>
              <w:jc w:val="right"/>
              <w:rPr>
                <w:rFonts w:eastAsia="Times New Roman"/>
              </w:rPr>
            </w:pPr>
            <w:r>
              <w:rPr>
                <w:rFonts w:eastAsia="Times New Roman"/>
                <w:sz w:val="20"/>
                <w:szCs w:val="20"/>
              </w:rPr>
              <w:t>(15,352)</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b/>
                <w:bCs/>
                <w:sz w:val="20"/>
                <w:szCs w:val="20"/>
              </w:rPr>
              <w:t>Cash Flows from financing activities:</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Proceeds From:</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Note Payable Crossfield:</w:t>
            </w:r>
          </w:p>
        </w:tc>
        <w:tc>
          <w:tcPr>
            <w:tcW w:w="0" w:type="auto"/>
            <w:shd w:val="clear" w:color="auto" w:fill="FFFFFF"/>
            <w:hideMark/>
          </w:tcPr>
          <w:p w:rsidR="00000000" w:rsidRDefault="00B95558">
            <w:pPr>
              <w:jc w:val="right"/>
              <w:rPr>
                <w:rFonts w:eastAsia="Times New Roman"/>
              </w:rPr>
            </w:pPr>
            <w:r>
              <w:rPr>
                <w:rFonts w:eastAsia="Times New Roman"/>
                <w:sz w:val="20"/>
                <w:szCs w:val="20"/>
              </w:rPr>
              <w:t>1,975</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c>
          <w:tcPr>
            <w:tcW w:w="0" w:type="auto"/>
            <w:shd w:val="clear" w:color="auto" w:fill="FFFFFF"/>
            <w:hideMark/>
          </w:tcPr>
          <w:p w:rsidR="00000000" w:rsidRDefault="00B95558">
            <w:pPr>
              <w:jc w:val="right"/>
              <w:rPr>
                <w:rFonts w:eastAsia="Times New Roman"/>
              </w:rPr>
            </w:pPr>
            <w:r>
              <w:rPr>
                <w:rFonts w:eastAsia="Times New Roman"/>
                <w:sz w:val="20"/>
                <w:szCs w:val="20"/>
              </w:rPr>
              <w:t>1,975</w:t>
            </w:r>
          </w:p>
        </w:tc>
        <w:tc>
          <w:tcPr>
            <w:tcW w:w="0" w:type="auto"/>
            <w:shd w:val="clear" w:color="auto" w:fill="FFFFFF"/>
            <w:hideMark/>
          </w:tcPr>
          <w:p w:rsidR="00000000" w:rsidRDefault="00B95558">
            <w:pPr>
              <w:jc w:val="right"/>
              <w:rPr>
                <w:rFonts w:eastAsia="Times New Roman"/>
              </w:rPr>
            </w:pPr>
            <w:r>
              <w:rPr>
                <w:rFonts w:eastAsia="Times New Roman"/>
                <w:sz w:val="20"/>
                <w:szCs w:val="20"/>
              </w:rPr>
              <w:t>-</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Used For:</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Long Term Debt, Subsidiary</w:t>
            </w:r>
          </w:p>
        </w:tc>
        <w:tc>
          <w:tcPr>
            <w:tcW w:w="0" w:type="auto"/>
            <w:shd w:val="clear" w:color="auto" w:fill="FFFFFF"/>
            <w:hideMark/>
          </w:tcPr>
          <w:p w:rsidR="00000000" w:rsidRDefault="00B95558">
            <w:pPr>
              <w:jc w:val="right"/>
              <w:rPr>
                <w:rFonts w:eastAsia="Times New Roman"/>
              </w:rPr>
            </w:pPr>
            <w:r>
              <w:rPr>
                <w:rFonts w:eastAsia="Times New Roman"/>
                <w:sz w:val="20"/>
                <w:szCs w:val="20"/>
              </w:rPr>
              <w:t>(2,255)</w:t>
            </w:r>
          </w:p>
        </w:tc>
        <w:tc>
          <w:tcPr>
            <w:tcW w:w="0" w:type="auto"/>
            <w:shd w:val="clear" w:color="auto" w:fill="FFFFFF"/>
            <w:hideMark/>
          </w:tcPr>
          <w:p w:rsidR="00000000" w:rsidRDefault="00B95558">
            <w:pPr>
              <w:jc w:val="right"/>
              <w:rPr>
                <w:rFonts w:eastAsia="Times New Roman"/>
              </w:rPr>
            </w:pPr>
            <w:r>
              <w:rPr>
                <w:rFonts w:eastAsia="Times New Roman"/>
                <w:sz w:val="20"/>
                <w:szCs w:val="20"/>
              </w:rPr>
              <w:t>(2,059)</w:t>
            </w:r>
          </w:p>
        </w:tc>
        <w:tc>
          <w:tcPr>
            <w:tcW w:w="0" w:type="auto"/>
            <w:shd w:val="clear" w:color="auto" w:fill="FFFFFF"/>
            <w:hideMark/>
          </w:tcPr>
          <w:p w:rsidR="00000000" w:rsidRDefault="00B95558">
            <w:pPr>
              <w:jc w:val="right"/>
              <w:rPr>
                <w:rFonts w:eastAsia="Times New Roman"/>
              </w:rPr>
            </w:pPr>
            <w:r>
              <w:rPr>
                <w:rFonts w:eastAsia="Times New Roman"/>
                <w:sz w:val="20"/>
                <w:szCs w:val="20"/>
              </w:rPr>
              <w:t>(4,358)</w:t>
            </w:r>
          </w:p>
        </w:tc>
        <w:tc>
          <w:tcPr>
            <w:tcW w:w="0" w:type="auto"/>
            <w:shd w:val="clear" w:color="auto" w:fill="FFFFFF"/>
            <w:hideMark/>
          </w:tcPr>
          <w:p w:rsidR="00000000" w:rsidRDefault="00B95558">
            <w:pPr>
              <w:jc w:val="right"/>
              <w:rPr>
                <w:rFonts w:eastAsia="Times New Roman"/>
              </w:rPr>
            </w:pPr>
            <w:r>
              <w:rPr>
                <w:rFonts w:eastAsia="Times New Roman"/>
                <w:sz w:val="20"/>
                <w:szCs w:val="20"/>
              </w:rPr>
              <w:t>(4,235)</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000000" w:rsidRDefault="00B95558">
            <w:pPr>
              <w:jc w:val="right"/>
              <w:rPr>
                <w:rFonts w:eastAsia="Times New Roman"/>
              </w:rPr>
            </w:pPr>
            <w:r>
              <w:rPr>
                <w:rFonts w:eastAsia="Times New Roman"/>
                <w:sz w:val="20"/>
                <w:szCs w:val="20"/>
              </w:rPr>
              <w:t>(280)</w:t>
            </w:r>
          </w:p>
        </w:tc>
        <w:tc>
          <w:tcPr>
            <w:tcW w:w="0" w:type="auto"/>
            <w:shd w:val="clear" w:color="auto" w:fill="CCFFCC"/>
            <w:hideMark/>
          </w:tcPr>
          <w:p w:rsidR="00000000" w:rsidRDefault="00B95558">
            <w:pPr>
              <w:jc w:val="right"/>
              <w:rPr>
                <w:rFonts w:eastAsia="Times New Roman"/>
              </w:rPr>
            </w:pPr>
            <w:r>
              <w:rPr>
                <w:rFonts w:eastAsia="Times New Roman"/>
                <w:sz w:val="20"/>
                <w:szCs w:val="20"/>
              </w:rPr>
              <w:t>(2,059)</w:t>
            </w:r>
          </w:p>
        </w:tc>
        <w:tc>
          <w:tcPr>
            <w:tcW w:w="0" w:type="auto"/>
            <w:shd w:val="clear" w:color="auto" w:fill="CCFFCC"/>
            <w:hideMark/>
          </w:tcPr>
          <w:p w:rsidR="00000000" w:rsidRDefault="00B95558">
            <w:pPr>
              <w:jc w:val="right"/>
              <w:rPr>
                <w:rFonts w:eastAsia="Times New Roman"/>
              </w:rPr>
            </w:pPr>
            <w:r>
              <w:rPr>
                <w:rFonts w:eastAsia="Times New Roman"/>
                <w:sz w:val="20"/>
                <w:szCs w:val="20"/>
              </w:rPr>
              <w:t>(2,383)</w:t>
            </w:r>
          </w:p>
        </w:tc>
        <w:tc>
          <w:tcPr>
            <w:tcW w:w="0" w:type="auto"/>
            <w:shd w:val="clear" w:color="auto" w:fill="CCFFCC"/>
            <w:hideMark/>
          </w:tcPr>
          <w:p w:rsidR="00000000" w:rsidRDefault="00B95558">
            <w:pPr>
              <w:jc w:val="right"/>
              <w:rPr>
                <w:rFonts w:eastAsia="Times New Roman"/>
              </w:rPr>
            </w:pPr>
            <w:r>
              <w:rPr>
                <w:rFonts w:eastAsia="Times New Roman"/>
                <w:sz w:val="20"/>
                <w:szCs w:val="20"/>
              </w:rPr>
              <w:t>(4,235)</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 </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b/>
                <w:bCs/>
                <w:sz w:val="20"/>
                <w:szCs w:val="20"/>
              </w:rPr>
              <w:t>Net Increase (decrease) in Cash</w:t>
            </w:r>
          </w:p>
        </w:tc>
        <w:tc>
          <w:tcPr>
            <w:tcW w:w="0" w:type="auto"/>
            <w:shd w:val="clear" w:color="auto" w:fill="CCFFCC"/>
            <w:hideMark/>
          </w:tcPr>
          <w:p w:rsidR="00000000" w:rsidRDefault="00B95558">
            <w:pPr>
              <w:jc w:val="right"/>
              <w:rPr>
                <w:rFonts w:eastAsia="Times New Roman"/>
              </w:rPr>
            </w:pPr>
            <w:r>
              <w:rPr>
                <w:rFonts w:eastAsia="Times New Roman"/>
                <w:b/>
                <w:bCs/>
                <w:sz w:val="20"/>
                <w:szCs w:val="20"/>
              </w:rPr>
              <w:t>2,278</w:t>
            </w:r>
          </w:p>
        </w:tc>
        <w:tc>
          <w:tcPr>
            <w:tcW w:w="0" w:type="auto"/>
            <w:shd w:val="clear" w:color="auto" w:fill="CCFFCC"/>
            <w:hideMark/>
          </w:tcPr>
          <w:p w:rsidR="00000000" w:rsidRDefault="00B95558">
            <w:pPr>
              <w:jc w:val="right"/>
              <w:rPr>
                <w:rFonts w:eastAsia="Times New Roman"/>
              </w:rPr>
            </w:pPr>
            <w:r>
              <w:rPr>
                <w:rFonts w:eastAsia="Times New Roman"/>
                <w:b/>
                <w:bCs/>
                <w:sz w:val="20"/>
                <w:szCs w:val="20"/>
              </w:rPr>
              <w:t>(28,162)</w:t>
            </w:r>
          </w:p>
        </w:tc>
        <w:tc>
          <w:tcPr>
            <w:tcW w:w="0" w:type="auto"/>
            <w:shd w:val="clear" w:color="auto" w:fill="CCFFCC"/>
            <w:hideMark/>
          </w:tcPr>
          <w:p w:rsidR="00000000" w:rsidRDefault="00B95558">
            <w:pPr>
              <w:jc w:val="right"/>
              <w:rPr>
                <w:rFonts w:eastAsia="Times New Roman"/>
              </w:rPr>
            </w:pPr>
            <w:r>
              <w:rPr>
                <w:rFonts w:eastAsia="Times New Roman"/>
                <w:b/>
                <w:bCs/>
                <w:sz w:val="20"/>
                <w:szCs w:val="20"/>
              </w:rPr>
              <w:t>2,278</w:t>
            </w:r>
          </w:p>
        </w:tc>
        <w:tc>
          <w:tcPr>
            <w:tcW w:w="0" w:type="auto"/>
            <w:shd w:val="clear" w:color="auto" w:fill="CCFFCC"/>
            <w:hideMark/>
          </w:tcPr>
          <w:p w:rsidR="00000000" w:rsidRDefault="00B95558">
            <w:pPr>
              <w:jc w:val="right"/>
              <w:rPr>
                <w:rFonts w:eastAsia="Times New Roman"/>
              </w:rPr>
            </w:pPr>
            <w:r>
              <w:rPr>
                <w:rFonts w:eastAsia="Times New Roman"/>
                <w:b/>
                <w:bCs/>
                <w:sz w:val="20"/>
                <w:szCs w:val="20"/>
              </w:rPr>
              <w:t>(19,587)</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sz w:val="20"/>
                <w:szCs w:val="20"/>
              </w:rPr>
              <w:t> </w:t>
            </w: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c>
          <w:tcPr>
            <w:tcW w:w="0" w:type="auto"/>
            <w:shd w:val="clear" w:color="auto" w:fill="FFFFFF"/>
            <w:hideMark/>
          </w:tcPr>
          <w:p w:rsidR="00000000" w:rsidRDefault="00B95558">
            <w:pPr>
              <w:jc w:val="right"/>
              <w:rPr>
                <w:rFonts w:eastAsia="Times New Roman"/>
              </w:rPr>
            </w:pP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b/>
                <w:bCs/>
                <w:sz w:val="20"/>
                <w:szCs w:val="20"/>
              </w:rPr>
              <w:t>Cash Balance at beginning of Period</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32,983</w:t>
            </w:r>
          </w:p>
        </w:tc>
        <w:tc>
          <w:tcPr>
            <w:tcW w:w="0" w:type="auto"/>
            <w:shd w:val="clear" w:color="auto" w:fill="CCFFCC"/>
            <w:hideMark/>
          </w:tcPr>
          <w:p w:rsidR="00000000" w:rsidRDefault="00B95558">
            <w:pPr>
              <w:jc w:val="right"/>
              <w:rPr>
                <w:rFonts w:eastAsia="Times New Roman"/>
              </w:rPr>
            </w:pPr>
            <w:r>
              <w:rPr>
                <w:rFonts w:eastAsia="Times New Roman"/>
                <w:sz w:val="20"/>
                <w:szCs w:val="20"/>
              </w:rPr>
              <w:t>-</w:t>
            </w:r>
          </w:p>
        </w:tc>
        <w:tc>
          <w:tcPr>
            <w:tcW w:w="0" w:type="auto"/>
            <w:shd w:val="clear" w:color="auto" w:fill="CCFFCC"/>
            <w:hideMark/>
          </w:tcPr>
          <w:p w:rsidR="00000000" w:rsidRDefault="00B95558">
            <w:pPr>
              <w:jc w:val="right"/>
              <w:rPr>
                <w:rFonts w:eastAsia="Times New Roman"/>
              </w:rPr>
            </w:pPr>
            <w:r>
              <w:rPr>
                <w:rFonts w:eastAsia="Times New Roman"/>
                <w:sz w:val="20"/>
                <w:szCs w:val="20"/>
              </w:rPr>
              <w:t>24,410</w:t>
            </w:r>
          </w:p>
        </w:tc>
      </w:tr>
      <w:tr w:rsidR="00000000">
        <w:trPr>
          <w:tblCellSpacing w:w="15" w:type="dxa"/>
        </w:trPr>
        <w:tc>
          <w:tcPr>
            <w:tcW w:w="0" w:type="auto"/>
            <w:shd w:val="clear" w:color="auto" w:fill="FFFFFF"/>
            <w:hideMark/>
          </w:tcPr>
          <w:p w:rsidR="00000000" w:rsidRDefault="00B95558">
            <w:pPr>
              <w:rPr>
                <w:rFonts w:eastAsia="Times New Roman"/>
              </w:rPr>
            </w:pPr>
            <w:r>
              <w:rPr>
                <w:rFonts w:eastAsia="Times New Roman"/>
                <w:b/>
                <w:bCs/>
                <w:sz w:val="20"/>
                <w:szCs w:val="20"/>
              </w:rPr>
              <w:t>Cash Balance at End of Period</w:t>
            </w:r>
          </w:p>
        </w:tc>
        <w:tc>
          <w:tcPr>
            <w:tcW w:w="0" w:type="auto"/>
            <w:shd w:val="clear" w:color="auto" w:fill="FFFFFF"/>
            <w:hideMark/>
          </w:tcPr>
          <w:p w:rsidR="00000000" w:rsidRDefault="00B95558">
            <w:pPr>
              <w:jc w:val="right"/>
              <w:rPr>
                <w:rFonts w:eastAsia="Times New Roman"/>
              </w:rPr>
            </w:pPr>
            <w:r>
              <w:rPr>
                <w:rFonts w:eastAsia="Times New Roman"/>
                <w:sz w:val="20"/>
                <w:szCs w:val="20"/>
              </w:rPr>
              <w:t>2,277</w:t>
            </w:r>
          </w:p>
        </w:tc>
        <w:tc>
          <w:tcPr>
            <w:tcW w:w="0" w:type="auto"/>
            <w:shd w:val="clear" w:color="auto" w:fill="FFFFFF"/>
            <w:hideMark/>
          </w:tcPr>
          <w:p w:rsidR="00000000" w:rsidRDefault="00B95558">
            <w:pPr>
              <w:jc w:val="right"/>
              <w:rPr>
                <w:rFonts w:eastAsia="Times New Roman"/>
              </w:rPr>
            </w:pPr>
            <w:r>
              <w:rPr>
                <w:rFonts w:eastAsia="Times New Roman"/>
                <w:sz w:val="20"/>
                <w:szCs w:val="20"/>
              </w:rPr>
              <w:t>4,820</w:t>
            </w:r>
          </w:p>
        </w:tc>
        <w:tc>
          <w:tcPr>
            <w:tcW w:w="0" w:type="auto"/>
            <w:shd w:val="clear" w:color="auto" w:fill="FFFFFF"/>
            <w:hideMark/>
          </w:tcPr>
          <w:p w:rsidR="00000000" w:rsidRDefault="00B95558">
            <w:pPr>
              <w:jc w:val="right"/>
              <w:rPr>
                <w:rFonts w:eastAsia="Times New Roman"/>
              </w:rPr>
            </w:pPr>
            <w:r>
              <w:rPr>
                <w:rFonts w:eastAsia="Times New Roman"/>
                <w:sz w:val="20"/>
                <w:szCs w:val="20"/>
              </w:rPr>
              <w:t>2,277</w:t>
            </w:r>
          </w:p>
        </w:tc>
        <w:tc>
          <w:tcPr>
            <w:tcW w:w="0" w:type="auto"/>
            <w:shd w:val="clear" w:color="auto" w:fill="FFFFFF"/>
            <w:hideMark/>
          </w:tcPr>
          <w:p w:rsidR="00000000" w:rsidRDefault="00B95558">
            <w:pPr>
              <w:jc w:val="right"/>
              <w:rPr>
                <w:rFonts w:eastAsia="Times New Roman"/>
              </w:rPr>
            </w:pPr>
            <w:r>
              <w:rPr>
                <w:rFonts w:eastAsia="Times New Roman"/>
                <w:sz w:val="20"/>
                <w:szCs w:val="20"/>
              </w:rPr>
              <w:t>4,820</w:t>
            </w:r>
          </w:p>
        </w:tc>
      </w:tr>
      <w:tr w:rsidR="00000000">
        <w:trPr>
          <w:tblCellSpacing w:w="15" w:type="dxa"/>
        </w:trPr>
        <w:tc>
          <w:tcPr>
            <w:tcW w:w="0" w:type="auto"/>
            <w:shd w:val="clear" w:color="auto" w:fill="CCFFCC"/>
            <w:hideMark/>
          </w:tcPr>
          <w:p w:rsidR="00000000" w:rsidRDefault="00B95558">
            <w:pPr>
              <w:rPr>
                <w:rFonts w:eastAsia="Times New Roman"/>
              </w:rPr>
            </w:pPr>
            <w:r>
              <w:rPr>
                <w:rFonts w:eastAsia="Times New Roman"/>
                <w:sz w:val="20"/>
                <w:szCs w:val="20"/>
              </w:rPr>
              <w:t> </w:t>
            </w: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c>
          <w:tcPr>
            <w:tcW w:w="0" w:type="auto"/>
            <w:shd w:val="clear" w:color="auto" w:fill="CCFFCC"/>
            <w:hideMark/>
          </w:tcPr>
          <w:p w:rsidR="00000000" w:rsidRDefault="00B95558">
            <w:pPr>
              <w:jc w:val="right"/>
              <w:rPr>
                <w:rFonts w:eastAsia="Times New Roman"/>
              </w:rPr>
            </w:pPr>
          </w:p>
        </w:tc>
      </w:tr>
      <w:tr w:rsidR="00000000">
        <w:trPr>
          <w:tblCellSpacing w:w="15" w:type="dxa"/>
        </w:trPr>
        <w:tc>
          <w:tcPr>
            <w:tcW w:w="0" w:type="auto"/>
            <w:gridSpan w:val="5"/>
            <w:shd w:val="clear" w:color="auto" w:fill="FFFFFF"/>
            <w:hideMark/>
          </w:tcPr>
          <w:p w:rsidR="00000000" w:rsidRDefault="00B95558">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B95558">
      <w:pPr>
        <w:pStyle w:val="NormalWeb"/>
      </w:pPr>
      <w:hyperlink w:anchor="toc" w:history="1">
        <w:r>
          <w:rPr>
            <w:rStyle w:val="Hyperlink"/>
            <w:b/>
            <w:bCs/>
            <w:sz w:val="20"/>
            <w:szCs w:val="20"/>
          </w:rPr>
          <w:t>Return to Table of Contents</w:t>
        </w:r>
      </w:hyperlink>
    </w:p>
    <w:p w:rsidR="009D695C" w:rsidRDefault="00B30F28">
      <w:pPr>
        <w:rPr>
          <w:rFonts w:eastAsia="Times New Roman"/>
        </w:rPr>
      </w:pPr>
      <w:r>
        <w:rPr>
          <w:rFonts w:eastAsia="Times New Roman"/>
        </w:rPr>
        <w:pict>
          <v:rect id="_x0000_i1038" style="width:0;height:3pt" o:hralign="center" o:hrstd="t" o:hrnoshade="t" o:hr="t" fillcolor="black" stroked="f"/>
        </w:pict>
      </w:r>
    </w:p>
    <w:p w:rsidR="009D695C" w:rsidRDefault="009D695C">
      <w:pPr>
        <w:rPr>
          <w:rFonts w:eastAsia="Times New Roman"/>
        </w:rPr>
      </w:pPr>
      <w:r>
        <w:rPr>
          <w:rFonts w:eastAsia="Times New Roman"/>
        </w:rPr>
        <w:br w:type="page"/>
      </w:r>
    </w:p>
    <w:p w:rsidR="00000000" w:rsidRDefault="00B95558">
      <w:pPr>
        <w:pStyle w:val="NormalWeb"/>
      </w:pPr>
      <w:bookmarkStart w:id="1" w:name="notes"/>
      <w:bookmarkEnd w:id="1"/>
      <w:r>
        <w:rPr>
          <w:b/>
          <w:bCs/>
          <w:sz w:val="20"/>
          <w:szCs w:val="20"/>
        </w:rPr>
        <w:lastRenderedPageBreak/>
        <w:t>NOTE 1- ORGANIZATION AND LINE OF BUSINESS</w:t>
      </w:r>
    </w:p>
    <w:p w:rsidR="00000000" w:rsidRDefault="00B95558">
      <w:pPr>
        <w:pStyle w:val="NormalWeb"/>
      </w:pPr>
      <w:r>
        <w:rPr>
          <w:b/>
          <w:bCs/>
        </w:rPr>
        <w:t>LINE OF BUSINESS</w:t>
      </w:r>
    </w:p>
    <w:p w:rsidR="00000000" w:rsidRDefault="00B95558">
      <w:pPr>
        <w:pStyle w:val="NormalWeb"/>
      </w:pPr>
      <w:r>
        <w:rPr>
          <w:sz w:val="20"/>
          <w:szCs w:val="20"/>
        </w:rPr>
        <w:t>Organization:</w:t>
      </w:r>
    </w:p>
    <w:p w:rsidR="00000000" w:rsidRDefault="00B95558">
      <w:pPr>
        <w:pStyle w:val="NormalWeb"/>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w:t>
      </w:r>
      <w:r>
        <w:rPr>
          <w:sz w:val="20"/>
          <w:szCs w:val="20"/>
        </w:rPr>
        <w:t xml:space="preserve">pany") was originally formed as a specialty materials company in the development stage (as defined by the Financial Accounting Standards Board ("FASB") in Statement of Financial Accounting Standards ("SFAS") no. 7, "Accounting and Reporting by Development </w:t>
      </w:r>
      <w:r>
        <w:rPr>
          <w:sz w:val="20"/>
          <w:szCs w:val="20"/>
        </w:rPr>
        <w:t>Stage Enterprises"). The Company's core technology consisted of a variety of materials, which had a high affinity for oxygen. In 1993 the Company discontinued those operations.</w:t>
      </w:r>
    </w:p>
    <w:p w:rsidR="00000000" w:rsidRDefault="00B95558">
      <w:pPr>
        <w:pStyle w:val="NormalWeb"/>
      </w:pPr>
      <w:r>
        <w:rPr>
          <w:sz w:val="20"/>
          <w:szCs w:val="20"/>
        </w:rPr>
        <w:t>Lines of Business:</w:t>
      </w:r>
    </w:p>
    <w:p w:rsidR="00000000" w:rsidRDefault="00B95558">
      <w:pPr>
        <w:pStyle w:val="NormalWeb"/>
      </w:pPr>
      <w:r>
        <w:rPr>
          <w:sz w:val="20"/>
          <w:szCs w:val="20"/>
        </w:rPr>
        <w:t>The Company's operations began again in 1997. The Company, t</w:t>
      </w:r>
      <w:r>
        <w:rPr>
          <w:sz w:val="20"/>
          <w:szCs w:val="20"/>
        </w:rPr>
        <w:t>hrough its wholly owned subsidiary ANV owns income producing commercial real estate leased until 2026. The real estate consists solely of the land with no buildings or improvements ("Land"). All improvements on the Land are those of the tenant.</w:t>
      </w:r>
    </w:p>
    <w:p w:rsidR="00000000" w:rsidRDefault="00B95558">
      <w:pPr>
        <w:pStyle w:val="NormalWeb"/>
      </w:pPr>
      <w:r>
        <w:rPr>
          <w:b/>
          <w:bCs/>
          <w:sz w:val="20"/>
          <w:szCs w:val="20"/>
        </w:rPr>
        <w:t>NOTE 2 - SU</w:t>
      </w:r>
      <w:r>
        <w:rPr>
          <w:b/>
          <w:bCs/>
          <w:sz w:val="20"/>
          <w:szCs w:val="20"/>
        </w:rPr>
        <w:t>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000000" w:rsidRDefault="00B95558">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000000" w:rsidRDefault="00B95558">
      <w:pPr>
        <w:pStyle w:val="NormalWeb"/>
      </w:pPr>
      <w:r>
        <w:rPr>
          <w:i/>
          <w:iCs/>
          <w:sz w:val="20"/>
          <w:szCs w:val="20"/>
        </w:rPr>
        <w:t>Real Estate Accounting Principles</w:t>
      </w:r>
      <w:r>
        <w:rPr>
          <w:sz w:val="20"/>
          <w:szCs w:val="20"/>
        </w:rPr>
        <w:t>: The Comp</w:t>
      </w:r>
      <w:r>
        <w:rPr>
          <w:sz w:val="20"/>
          <w:szCs w:val="20"/>
        </w:rPr>
        <w:t>any treats the valuation of its real estate in accordance with FASB Statement No. 157, Fair Value Measurements, which provides for the companies accounting valuation of real estate. Statement 157 defines fair value as the price that would be received to se</w:t>
      </w:r>
      <w:r>
        <w:rPr>
          <w:sz w:val="20"/>
          <w:szCs w:val="20"/>
        </w:rPr>
        <w:t>ll an asset or paid to transfer a liability in an orderly transaction between market participants at the measurement date. The Company has valued its real estate using the three valuation approaches defined in FASB Statement No. 157: The market approach, w</w:t>
      </w:r>
      <w:r>
        <w:rPr>
          <w:sz w:val="20"/>
          <w:szCs w:val="20"/>
        </w:rPr>
        <w:t>hich uses observable prices and other relevant information derived from market transactions involving identical or comparable assets or liabilities, The income approach, which uses valuation technique to convert future benefits or costs, usually in the for</w:t>
      </w:r>
      <w:r>
        <w:rPr>
          <w:sz w:val="20"/>
          <w:szCs w:val="20"/>
        </w:rPr>
        <w:t>m of cash flows, into a present-value amount. Examples of an income approach include the discounted cash flow method and the direct capitalization method, and the cost approach, which uses estimates of the cost to replace an asset’s service capacity.</w:t>
      </w:r>
    </w:p>
    <w:p w:rsidR="00000000" w:rsidRDefault="00B95558">
      <w:pPr>
        <w:rPr>
          <w:rFonts w:eastAsia="Times New Roman"/>
        </w:rPr>
      </w:pPr>
      <w:r>
        <w:rPr>
          <w:rFonts w:eastAsia="Times New Roman"/>
          <w:i/>
          <w:iCs/>
          <w:sz w:val="20"/>
          <w:szCs w:val="20"/>
        </w:rPr>
        <w:t>Reven</w:t>
      </w:r>
      <w:r>
        <w:rPr>
          <w:rFonts w:eastAsia="Times New Roman"/>
          <w:i/>
          <w:iCs/>
          <w:sz w:val="20"/>
          <w:szCs w:val="20"/>
        </w:rPr>
        <w:t>ue recognition on the sale of real estate:</w:t>
      </w:r>
      <w:r>
        <w:rPr>
          <w:rFonts w:eastAsia="Times New Roman"/>
        </w:rPr>
        <w:t xml:space="preserve"> </w:t>
      </w:r>
    </w:p>
    <w:p w:rsidR="00000000" w:rsidRDefault="00B95558">
      <w:pPr>
        <w:pStyle w:val="NormalWeb"/>
      </w:pPr>
      <w:r>
        <w:rPr>
          <w:sz w:val="20"/>
          <w:szCs w:val="20"/>
        </w:rPr>
        <w:t>Sales of real estate are recognized when and to the extent permitted by Statement of Financial Accounting Standards No. 66, “Accounting for Sales of Real Estate” (“SFAS No. 66”</w:t>
      </w:r>
      <w:r>
        <w:rPr>
          <w:sz w:val="20"/>
          <w:szCs w:val="20"/>
        </w:rPr>
        <w:t xml:space="preserve">),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B95558">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B95558">
      <w:pPr>
        <w:spacing w:before="100" w:beforeAutospacing="1" w:after="240"/>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w:t>
      </w:r>
      <w:r>
        <w:rPr>
          <w:sz w:val="20"/>
          <w:szCs w:val="20"/>
        </w:rPr>
        <w:t>placements and betterments are capitalized. Repair and maintenance costs include all costs that do not extend the useful life of the real estate asset. The Company considers the period of future benefit of an asset to determine its appropriate useful life.</w:t>
      </w:r>
      <w:r>
        <w:rPr>
          <w:sz w:val="20"/>
          <w:szCs w:val="20"/>
        </w:rPr>
        <w:t xml:space="preserve"> The Company anticipates the estimated useful lives of its assets by class to be generally as follows: land improvements: three to 40 years, buildings and building improvements: three to 40 years, and furniture and equipment: one to 20 years.</w:t>
      </w:r>
    </w:p>
    <w:p w:rsidR="00000000" w:rsidRDefault="00B95558">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B30F28">
      <w:pPr>
        <w:rPr>
          <w:rFonts w:eastAsia="Times New Roman"/>
          <w:sz w:val="20"/>
          <w:szCs w:val="20"/>
        </w:rPr>
      </w:pPr>
      <w:r>
        <w:rPr>
          <w:rFonts w:eastAsia="Times New Roman"/>
          <w:sz w:val="20"/>
          <w:szCs w:val="20"/>
        </w:rPr>
        <w:pict>
          <v:rect id="_x0000_i1039" style="width:0;height:3pt" o:hralign="center" o:hrstd="t" o:hrnoshade="t" o:hr="t" fillcolor="black" stroked="f"/>
        </w:pict>
      </w:r>
    </w:p>
    <w:p w:rsidR="009D695C" w:rsidRDefault="009D695C">
      <w:pPr>
        <w:spacing w:before="100" w:beforeAutospacing="1" w:after="240"/>
        <w:rPr>
          <w:i/>
          <w:iCs/>
          <w:sz w:val="20"/>
          <w:szCs w:val="20"/>
        </w:rPr>
      </w:pPr>
    </w:p>
    <w:p w:rsidR="009D695C" w:rsidRDefault="009D695C">
      <w:pPr>
        <w:spacing w:before="100" w:beforeAutospacing="1" w:after="240"/>
        <w:rPr>
          <w:i/>
          <w:iCs/>
          <w:sz w:val="20"/>
          <w:szCs w:val="20"/>
        </w:rPr>
      </w:pPr>
    </w:p>
    <w:p w:rsidR="00000000" w:rsidRPr="009D695C" w:rsidRDefault="00B95558">
      <w:pPr>
        <w:spacing w:before="100" w:beforeAutospacing="1" w:after="240"/>
        <w:rPr>
          <w:sz w:val="18"/>
          <w:szCs w:val="18"/>
        </w:rPr>
      </w:pPr>
      <w:r w:rsidRPr="009D695C">
        <w:rPr>
          <w:i/>
          <w:iCs/>
          <w:sz w:val="18"/>
          <w:szCs w:val="18"/>
        </w:rPr>
        <w:lastRenderedPageBreak/>
        <w:t>Impairment of Real Estate Investments</w:t>
      </w:r>
    </w:p>
    <w:p w:rsidR="00000000" w:rsidRPr="009D695C" w:rsidRDefault="00B95558">
      <w:pPr>
        <w:spacing w:before="100" w:beforeAutospacing="1" w:after="100" w:afterAutospacing="1"/>
        <w:rPr>
          <w:sz w:val="18"/>
          <w:szCs w:val="18"/>
        </w:rPr>
      </w:pPr>
      <w:r w:rsidRPr="009D695C">
        <w:rPr>
          <w:sz w:val="18"/>
          <w:szCs w:val="18"/>
        </w:rPr>
        <w:t>The Company continually monitors events and changes in circumstances that could indicate that the carrying amounts of its real estate investment</w:t>
      </w:r>
      <w:r w:rsidRPr="009D695C">
        <w:rPr>
          <w:sz w:val="18"/>
          <w:szCs w:val="18"/>
        </w:rPr>
        <w:t>s may not be recoverable or realized. When indicators of potential impairment suggest that the carrying value of real estate investments may not be recoverable, the Company assesses the recoverability by estimating whether the Company will recover the carr</w:t>
      </w:r>
      <w:r w:rsidRPr="009D695C">
        <w:rPr>
          <w:sz w:val="18"/>
          <w:szCs w:val="18"/>
        </w:rPr>
        <w:t>ying value of its real estate investments through its undiscounted future cash flows and the eventual disposition of the investment. If, based on this analysis, the Company does not believe that it will be able to recover the carrying value of its real est</w:t>
      </w:r>
      <w:r w:rsidRPr="009D695C">
        <w:rPr>
          <w:sz w:val="18"/>
          <w:szCs w:val="18"/>
        </w:rPr>
        <w:t xml:space="preserve">ate </w:t>
      </w:r>
      <w:proofErr w:type="gramStart"/>
      <w:r w:rsidRPr="009D695C">
        <w:rPr>
          <w:sz w:val="18"/>
          <w:szCs w:val="18"/>
        </w:rPr>
        <w:t>investments,</w:t>
      </w:r>
      <w:proofErr w:type="gramEnd"/>
      <w:r w:rsidRPr="009D695C">
        <w:rPr>
          <w:sz w:val="18"/>
          <w:szCs w:val="18"/>
        </w:rPr>
        <w:t xml:space="preserve"> the Company would record an impairment loss to the extent that the carrying value exceeds the estimated fair value of its real estate investments. The Company recorded no impairment loss on its real estate investments during the period end</w:t>
      </w:r>
      <w:r w:rsidRPr="009D695C">
        <w:rPr>
          <w:sz w:val="18"/>
          <w:szCs w:val="18"/>
        </w:rPr>
        <w:t xml:space="preserve">ing December 31, </w:t>
      </w:r>
      <w:proofErr w:type="gramStart"/>
      <w:r w:rsidRPr="009D695C">
        <w:rPr>
          <w:sz w:val="18"/>
          <w:szCs w:val="18"/>
        </w:rPr>
        <w:t>2012 .</w:t>
      </w:r>
      <w:proofErr w:type="gramEnd"/>
    </w:p>
    <w:p w:rsidR="00000000" w:rsidRPr="009D695C" w:rsidRDefault="00B95558">
      <w:pPr>
        <w:rPr>
          <w:rFonts w:eastAsia="Times New Roman"/>
          <w:sz w:val="18"/>
          <w:szCs w:val="18"/>
        </w:rPr>
      </w:pPr>
      <w:r w:rsidRPr="009D695C">
        <w:rPr>
          <w:rFonts w:eastAsia="Times New Roman"/>
          <w:i/>
          <w:iCs/>
          <w:sz w:val="18"/>
          <w:szCs w:val="18"/>
        </w:rPr>
        <w:t>Interest Recognition on Notes Receivable</w:t>
      </w:r>
    </w:p>
    <w:p w:rsidR="00000000" w:rsidRPr="009D695C" w:rsidRDefault="00B95558">
      <w:pPr>
        <w:pStyle w:val="NormalWeb"/>
        <w:rPr>
          <w:sz w:val="18"/>
          <w:szCs w:val="18"/>
        </w:rPr>
      </w:pPr>
      <w:r w:rsidRPr="009D695C">
        <w:rPr>
          <w:sz w:val="18"/>
          <w:szCs w:val="18"/>
        </w:rPr>
        <w:t>Interest income is not recognized on notes receivable that have been delinquent for 60 days or more. In addition, accrued but unpaid interest income is only recognized to the extent that th</w:t>
      </w:r>
      <w:r w:rsidRPr="009D695C">
        <w:rPr>
          <w:sz w:val="18"/>
          <w:szCs w:val="18"/>
        </w:rPr>
        <w:t>e net realizable value of the underlying collateral exceeds the carrying value of the receivable.</w:t>
      </w:r>
    </w:p>
    <w:p w:rsidR="00000000" w:rsidRPr="009D695C" w:rsidRDefault="00B95558">
      <w:pPr>
        <w:pStyle w:val="NormalWeb"/>
        <w:rPr>
          <w:sz w:val="18"/>
          <w:szCs w:val="18"/>
        </w:rPr>
      </w:pPr>
      <w:r w:rsidRPr="009D695C">
        <w:rPr>
          <w:i/>
          <w:iCs/>
          <w:sz w:val="18"/>
          <w:szCs w:val="18"/>
        </w:rPr>
        <w:t>Foreign currency translation:</w:t>
      </w:r>
    </w:p>
    <w:p w:rsidR="00000000" w:rsidRPr="009D695C" w:rsidRDefault="00B95558">
      <w:pPr>
        <w:pStyle w:val="NormalWeb"/>
        <w:rPr>
          <w:sz w:val="18"/>
          <w:szCs w:val="18"/>
        </w:rPr>
      </w:pPr>
      <w:r w:rsidRPr="009D695C">
        <w:rPr>
          <w:sz w:val="18"/>
          <w:szCs w:val="18"/>
        </w:rPr>
        <w:t>Foreign currency transactions are translated applying the current rate method. Assets and liabilities are translated at curren</w:t>
      </w:r>
      <w:r w:rsidRPr="009D695C">
        <w:rPr>
          <w:sz w:val="18"/>
          <w:szCs w:val="18"/>
        </w:rPr>
        <w:t xml:space="preserve">t rates. Stockholders' equity accounts are translated at the appropriate historical rates and revenue and expenses are translated at weighted average rates for the year. Exchange rate differences that arise between the rate at the transaction date and the </w:t>
      </w:r>
      <w:r w:rsidRPr="009D695C">
        <w:rPr>
          <w:sz w:val="18"/>
          <w:szCs w:val="18"/>
        </w:rPr>
        <w:t>one in effect at the payment date, or at the balance sheet date, are recognized in the income statement.</w:t>
      </w:r>
      <w:r w:rsidRPr="009D695C">
        <w:rPr>
          <w:sz w:val="18"/>
          <w:szCs w:val="18"/>
        </w:rPr>
        <w:br/>
      </w:r>
      <w:r w:rsidRPr="009D695C">
        <w:rPr>
          <w:sz w:val="18"/>
          <w:szCs w:val="18"/>
        </w:rPr>
        <w:br/>
      </w:r>
      <w:r w:rsidRPr="009D695C">
        <w:rPr>
          <w:i/>
          <w:iCs/>
          <w:sz w:val="18"/>
          <w:szCs w:val="18"/>
        </w:rPr>
        <w:t>Income Taxes:</w:t>
      </w:r>
    </w:p>
    <w:p w:rsidR="00000000" w:rsidRPr="009D695C" w:rsidRDefault="00B95558">
      <w:pPr>
        <w:pStyle w:val="NormalWeb"/>
        <w:rPr>
          <w:sz w:val="18"/>
          <w:szCs w:val="18"/>
        </w:rPr>
      </w:pPr>
      <w:r w:rsidRPr="009D695C">
        <w:rPr>
          <w:sz w:val="18"/>
          <w:szCs w:val="18"/>
        </w:rPr>
        <w:t>The Company accounts for income taxes under the asset and liability method of accounting. Under this method, deferred tax assets and li</w:t>
      </w:r>
      <w:r w:rsidRPr="009D695C">
        <w:rPr>
          <w:sz w:val="18"/>
          <w:szCs w:val="18"/>
        </w:rPr>
        <w:t xml:space="preserve">abilities are recognized for the future tax consequences attributable to differences between the financial statement carrying amounts of existing assets and liabilities and their respective tax bases. Deferred tax assets and liabilities are measured using </w:t>
      </w:r>
      <w:r w:rsidRPr="009D695C">
        <w:rPr>
          <w:sz w:val="18"/>
          <w:szCs w:val="18"/>
        </w:rPr>
        <w:t>enacted tax rates expected to apply to taxable income in the years in which those temporary differences are expected to be recovered or settled. The effect on deferred tax assets and liabilities of a change in tax rates is recognized in income in the perio</w:t>
      </w:r>
      <w:r w:rsidRPr="009D695C">
        <w:rPr>
          <w:sz w:val="18"/>
          <w:szCs w:val="18"/>
        </w:rPr>
        <w:t>d that includes the enactment date. A valuation allowance is required when it is less likely than not that the Company will be able to realize all or a portion of its deferred tax assets. Because it is doubtful that the net operating losses of recent years</w:t>
      </w:r>
      <w:r w:rsidRPr="009D695C">
        <w:rPr>
          <w:sz w:val="18"/>
          <w:szCs w:val="18"/>
        </w:rPr>
        <w:t xml:space="preserve"> will ever be used, a valuation allowance has been recognized equal to the tax benefit of net operating losses generated.</w:t>
      </w:r>
      <w:r w:rsidRPr="009D695C">
        <w:rPr>
          <w:sz w:val="18"/>
          <w:szCs w:val="18"/>
        </w:rPr>
        <w:br/>
      </w:r>
      <w:r w:rsidRPr="009D695C">
        <w:rPr>
          <w:sz w:val="18"/>
          <w:szCs w:val="18"/>
        </w:rPr>
        <w:br/>
      </w:r>
      <w:r w:rsidRPr="009D695C">
        <w:rPr>
          <w:i/>
          <w:iCs/>
          <w:sz w:val="18"/>
          <w:szCs w:val="18"/>
        </w:rPr>
        <w:t>Net Earnings per Share:</w:t>
      </w:r>
    </w:p>
    <w:p w:rsidR="00000000" w:rsidRPr="009D695C" w:rsidRDefault="00B95558">
      <w:pPr>
        <w:pStyle w:val="NormalWeb"/>
        <w:rPr>
          <w:sz w:val="18"/>
          <w:szCs w:val="18"/>
        </w:rPr>
      </w:pPr>
      <w:r w:rsidRPr="009D695C">
        <w:rPr>
          <w:sz w:val="18"/>
          <w:szCs w:val="18"/>
        </w:rPr>
        <w:t xml:space="preserve">The Company adopted SFAS No. 128, "Earnings per Share". </w:t>
      </w:r>
      <w:proofErr w:type="gramStart"/>
      <w:r w:rsidRPr="009D695C">
        <w:rPr>
          <w:sz w:val="18"/>
          <w:szCs w:val="18"/>
        </w:rPr>
        <w:t>Basic earnings per share is</w:t>
      </w:r>
      <w:proofErr w:type="gramEnd"/>
      <w:r w:rsidRPr="009D695C">
        <w:rPr>
          <w:sz w:val="18"/>
          <w:szCs w:val="18"/>
        </w:rPr>
        <w:t xml:space="preserve"> computed by dividing inc</w:t>
      </w:r>
      <w:r w:rsidRPr="009D695C">
        <w:rPr>
          <w:sz w:val="18"/>
          <w:szCs w:val="18"/>
        </w:rPr>
        <w:t>ome available to common shareholders by the weighted-average number of common shares available. Diluted earnings per share is computed similar to basic earnings per share except that the denominator is increased to include the number of additional common s</w:t>
      </w:r>
      <w:r w:rsidRPr="009D695C">
        <w:rPr>
          <w:sz w:val="18"/>
          <w:szCs w:val="18"/>
        </w:rPr>
        <w:t>hares that would have been outstanding if the potential common shares had been issued and if the additional common shares were dilutive.</w:t>
      </w:r>
      <w:r w:rsidRPr="009D695C">
        <w:rPr>
          <w:sz w:val="18"/>
          <w:szCs w:val="18"/>
        </w:rPr>
        <w:br/>
      </w:r>
      <w:r w:rsidRPr="009D695C">
        <w:rPr>
          <w:sz w:val="18"/>
          <w:szCs w:val="18"/>
        </w:rPr>
        <w:br/>
      </w:r>
      <w:r w:rsidRPr="009D695C">
        <w:rPr>
          <w:i/>
          <w:iCs/>
          <w:sz w:val="18"/>
          <w:szCs w:val="18"/>
        </w:rPr>
        <w:t>Cash and Cash Equivalents:</w:t>
      </w:r>
    </w:p>
    <w:p w:rsidR="00000000" w:rsidRPr="009D695C" w:rsidRDefault="00B95558">
      <w:pPr>
        <w:pStyle w:val="NormalWeb"/>
        <w:rPr>
          <w:sz w:val="18"/>
          <w:szCs w:val="18"/>
        </w:rPr>
      </w:pPr>
      <w:r w:rsidRPr="009D695C">
        <w:rPr>
          <w:sz w:val="18"/>
          <w:szCs w:val="18"/>
        </w:rPr>
        <w:t>For purposes of the statement of cash flows, the Company considers all highly-liquid inves</w:t>
      </w:r>
      <w:r w:rsidRPr="009D695C">
        <w:rPr>
          <w:sz w:val="18"/>
          <w:szCs w:val="18"/>
        </w:rPr>
        <w:t>tments purchased with original maturities of three months or less to be cash equivalents.</w:t>
      </w:r>
      <w:r w:rsidRPr="009D695C">
        <w:rPr>
          <w:sz w:val="18"/>
          <w:szCs w:val="18"/>
        </w:rPr>
        <w:br/>
      </w:r>
      <w:r w:rsidRPr="009D695C">
        <w:rPr>
          <w:sz w:val="18"/>
          <w:szCs w:val="18"/>
        </w:rPr>
        <w:br/>
        <w:t>The Company maintains its cash in bank deposit accounts which, at December 31, 2012 did not exceed federally insured limits. The Company has not experienced any loss</w:t>
      </w:r>
      <w:r w:rsidRPr="009D695C">
        <w:rPr>
          <w:sz w:val="18"/>
          <w:szCs w:val="18"/>
        </w:rPr>
        <w:t>es in such accounts and believes that it is not exposed to any significant credit risk on such amounts.</w:t>
      </w:r>
      <w:r w:rsidRPr="009D695C">
        <w:rPr>
          <w:sz w:val="18"/>
          <w:szCs w:val="18"/>
        </w:rPr>
        <w:br/>
      </w:r>
      <w:r w:rsidRPr="009D695C">
        <w:rPr>
          <w:sz w:val="18"/>
          <w:szCs w:val="18"/>
        </w:rPr>
        <w:br/>
      </w:r>
      <w:r w:rsidRPr="009D695C">
        <w:rPr>
          <w:i/>
          <w:iCs/>
          <w:sz w:val="18"/>
          <w:szCs w:val="18"/>
        </w:rPr>
        <w:t>Estimates:</w:t>
      </w:r>
    </w:p>
    <w:p w:rsidR="00000000" w:rsidRPr="009D695C" w:rsidRDefault="00B95558">
      <w:pPr>
        <w:pStyle w:val="NormalWeb"/>
        <w:rPr>
          <w:sz w:val="18"/>
          <w:szCs w:val="18"/>
        </w:rPr>
      </w:pPr>
      <w:r w:rsidRPr="009D695C">
        <w:rPr>
          <w:sz w:val="18"/>
          <w:szCs w:val="18"/>
        </w:rPr>
        <w:t>The preparation of financial statements in conformity with generally accepted accounting principles requires management to make estimates a</w:t>
      </w:r>
      <w:r w:rsidRPr="009D695C">
        <w:rPr>
          <w:sz w:val="18"/>
          <w:szCs w:val="18"/>
        </w:rPr>
        <w:t>nd assumptions that affect the reported amounts of assets and liabilities and disclosures of contingent assets and liabilities at the date of the financial statements, as well as the reported amounts of revenue and expenses during the reported period. Actu</w:t>
      </w:r>
      <w:r w:rsidRPr="009D695C">
        <w:rPr>
          <w:sz w:val="18"/>
          <w:szCs w:val="18"/>
        </w:rPr>
        <w:t>al results could differ from those estimates.</w:t>
      </w:r>
      <w:r w:rsidRPr="009D695C">
        <w:rPr>
          <w:sz w:val="18"/>
          <w:szCs w:val="18"/>
        </w:rPr>
        <w:br/>
      </w:r>
      <w:r w:rsidRPr="009D695C">
        <w:rPr>
          <w:sz w:val="18"/>
          <w:szCs w:val="18"/>
        </w:rPr>
        <w:br/>
      </w:r>
      <w:r w:rsidRPr="009D695C">
        <w:rPr>
          <w:i/>
          <w:iCs/>
          <w:sz w:val="18"/>
          <w:szCs w:val="18"/>
        </w:rPr>
        <w:t>Concentrations of Credit Risk:</w:t>
      </w:r>
    </w:p>
    <w:p w:rsidR="00000000" w:rsidRPr="009D695C" w:rsidRDefault="00B95558">
      <w:pPr>
        <w:pStyle w:val="NormalWeb"/>
        <w:rPr>
          <w:sz w:val="18"/>
          <w:szCs w:val="18"/>
        </w:rPr>
      </w:pPr>
      <w:r w:rsidRPr="009D695C">
        <w:rPr>
          <w:sz w:val="18"/>
          <w:szCs w:val="18"/>
        </w:rPr>
        <w:t xml:space="preserve">Financial instruments that potentially subject the Company to major credit risk consist principally of a single subsidiary of Anton Nielsen </w:t>
      </w:r>
      <w:proofErr w:type="spellStart"/>
      <w:r w:rsidRPr="009D695C">
        <w:rPr>
          <w:sz w:val="18"/>
          <w:szCs w:val="18"/>
        </w:rPr>
        <w:t>Vojens</w:t>
      </w:r>
      <w:proofErr w:type="spellEnd"/>
      <w:r w:rsidRPr="009D695C">
        <w:rPr>
          <w:sz w:val="18"/>
          <w:szCs w:val="18"/>
        </w:rPr>
        <w:t xml:space="preserve"> </w:t>
      </w:r>
      <w:proofErr w:type="spellStart"/>
      <w:r w:rsidRPr="009D695C">
        <w:rPr>
          <w:sz w:val="18"/>
          <w:szCs w:val="18"/>
        </w:rPr>
        <w:t>ApS</w:t>
      </w:r>
      <w:proofErr w:type="spellEnd"/>
      <w:r w:rsidRPr="009D695C">
        <w:rPr>
          <w:sz w:val="18"/>
          <w:szCs w:val="18"/>
        </w:rPr>
        <w:t xml:space="preserve"> and its customer concentra</w:t>
      </w:r>
      <w:r w:rsidRPr="009D695C">
        <w:rPr>
          <w:sz w:val="18"/>
          <w:szCs w:val="18"/>
        </w:rPr>
        <w:t>tion.</w:t>
      </w:r>
    </w:p>
    <w:p w:rsidR="00000000" w:rsidRDefault="00B95558">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B30F28">
      <w:pPr>
        <w:rPr>
          <w:rFonts w:eastAsia="Times New Roman"/>
          <w:sz w:val="20"/>
          <w:szCs w:val="20"/>
        </w:rPr>
      </w:pPr>
      <w:r>
        <w:rPr>
          <w:rFonts w:eastAsia="Times New Roman"/>
          <w:sz w:val="20"/>
          <w:szCs w:val="20"/>
        </w:rPr>
        <w:pict>
          <v:rect id="_x0000_i1040" style="width:0;height:3pt" o:hralign="center" o:hrstd="t" o:hrnoshade="t" o:hr="t" fillcolor="black" stroked="f"/>
        </w:pict>
      </w:r>
    </w:p>
    <w:p w:rsidR="009D695C" w:rsidRDefault="009D695C">
      <w:pPr>
        <w:pStyle w:val="NormalWeb"/>
        <w:spacing w:after="240" w:afterAutospacing="0"/>
        <w:rPr>
          <w:i/>
          <w:iCs/>
          <w:sz w:val="20"/>
          <w:szCs w:val="20"/>
        </w:rPr>
      </w:pPr>
    </w:p>
    <w:p w:rsidR="009D695C" w:rsidRDefault="009D695C">
      <w:pPr>
        <w:pStyle w:val="NormalWeb"/>
        <w:spacing w:after="240" w:afterAutospacing="0"/>
        <w:rPr>
          <w:i/>
          <w:iCs/>
          <w:sz w:val="20"/>
          <w:szCs w:val="20"/>
        </w:rPr>
      </w:pPr>
    </w:p>
    <w:p w:rsidR="00000000" w:rsidRDefault="00B95558">
      <w:pPr>
        <w:pStyle w:val="NormalWeb"/>
        <w:spacing w:after="240" w:afterAutospacing="0"/>
      </w:pPr>
      <w:r>
        <w:rPr>
          <w:i/>
          <w:iCs/>
          <w:sz w:val="20"/>
          <w:szCs w:val="20"/>
        </w:rPr>
        <w:lastRenderedPageBreak/>
        <w:t>Recently Issued Accounting Standards</w:t>
      </w:r>
    </w:p>
    <w:p w:rsidR="00000000" w:rsidRDefault="00B95558">
      <w:pPr>
        <w:pStyle w:val="NormalWeb"/>
      </w:pPr>
      <w:r>
        <w:rPr>
          <w:sz w:val="20"/>
          <w:szCs w:val="20"/>
        </w:rPr>
        <w:t>In February 2006, the FASB issued SFAS No. 155, “Accounting for Certain Hybrid Financial Instruments an Amendment of FASB Statements No. 133 and 140”</w:t>
      </w:r>
      <w:r>
        <w:rPr>
          <w:sz w:val="20"/>
          <w:szCs w:val="20"/>
        </w:rPr>
        <w:t xml:space="preserve"> (“SFAS No. 155”). The purpose of SFAS No. 155 is to simplify the accounting for certain hybrid financial instruments by permitting fair value re-measurement for any hybrid financial instrument that contains an embedded derivative that otherwise would requ</w:t>
      </w:r>
      <w:r>
        <w:rPr>
          <w:sz w:val="20"/>
          <w:szCs w:val="20"/>
        </w:rPr>
        <w:t>ire bifurcation. SFAS No. 155 was effective for all financial instruments acquired or issued after the beginning of an entity’s first fiscal year that begins after September 15, 2006. The Company believes the adoption of SFAS No. 155 had no material impact</w:t>
      </w:r>
      <w:r>
        <w:rPr>
          <w:sz w:val="20"/>
          <w:szCs w:val="20"/>
        </w:rPr>
        <w:t xml:space="preserve"> on its cash flows, results of operations, financial position or liquidity</w:t>
      </w:r>
      <w:proofErr w:type="gramStart"/>
      <w:r>
        <w:rPr>
          <w:sz w:val="20"/>
          <w:szCs w:val="20"/>
        </w:rPr>
        <w:t>..</w:t>
      </w:r>
      <w:proofErr w:type="gramEnd"/>
    </w:p>
    <w:p w:rsidR="00000000" w:rsidRDefault="00B95558">
      <w:pPr>
        <w:pStyle w:val="NormalWeb"/>
      </w:pPr>
      <w:r>
        <w:rPr>
          <w:sz w:val="20"/>
          <w:szCs w:val="20"/>
        </w:rPr>
        <w:t xml:space="preserve">In March 2006, the FASB issued SFAS No. 156, “Accounting for Servicing of Financial Assets </w:t>
      </w:r>
      <w:proofErr w:type="gramStart"/>
      <w:r>
        <w:t xml:space="preserve">“ </w:t>
      </w:r>
      <w:r>
        <w:rPr>
          <w:sz w:val="20"/>
          <w:szCs w:val="20"/>
        </w:rPr>
        <w:t>an</w:t>
      </w:r>
      <w:proofErr w:type="gramEnd"/>
      <w:r>
        <w:rPr>
          <w:sz w:val="20"/>
          <w:szCs w:val="20"/>
        </w:rPr>
        <w:t xml:space="preserve"> Amendment of FASB Statement No. 140” (“SFAS No. 156”). SFAS No. 156 requires recog</w:t>
      </w:r>
      <w:r>
        <w:rPr>
          <w:sz w:val="20"/>
          <w:szCs w:val="20"/>
        </w:rPr>
        <w:t>nition of a servicing asset or a servicing liability each time an entity undertakes an obligation to service a financial asset by entering into a servicing contract. SFAS No. 156 also requires that all separately recognized servicing assets and servicing l</w:t>
      </w:r>
      <w:r>
        <w:rPr>
          <w:sz w:val="20"/>
          <w:szCs w:val="20"/>
        </w:rPr>
        <w:t xml:space="preserve">iabilities be initially measured at fair value and subsequently measured at fair value at each reporting date. SFAS No. 156 was effective as of the beginning of any entity’s first fiscal year that begins after September 15, 2006. The Company believes that </w:t>
      </w:r>
      <w:r>
        <w:rPr>
          <w:sz w:val="20"/>
          <w:szCs w:val="20"/>
        </w:rPr>
        <w:t>the adoption of SFAS No. 156 had no material impact on its cash flows, results of operations, financial position or liquidity.</w:t>
      </w:r>
    </w:p>
    <w:p w:rsidR="00000000" w:rsidRDefault="00B95558">
      <w:pPr>
        <w:pStyle w:val="NormalWeb"/>
        <w:spacing w:after="240" w:afterAutospacing="0"/>
      </w:pPr>
      <w:r>
        <w:rPr>
          <w:sz w:val="20"/>
          <w:szCs w:val="20"/>
        </w:rPr>
        <w:t>In June 2006, FASB issued FIN No. 48, “Accounting for Uncertainty Taxes”. The interpretation applies to all tax positions relate</w:t>
      </w:r>
      <w:r>
        <w:rPr>
          <w:sz w:val="20"/>
          <w:szCs w:val="20"/>
        </w:rPr>
        <w:t>d to income taxes subject to FASB Statement No. 109, “Accounting for Income Taxes”. FIN No. 48 clarifies the accounting for uncertainty in income taxes by prescribing a minimum recognition threshold in determining if a tax position should be reflected in t</w:t>
      </w:r>
      <w:r>
        <w:rPr>
          <w:sz w:val="20"/>
          <w:szCs w:val="20"/>
        </w:rPr>
        <w:t>he financial statements. Only tax positions that meet the “more likely than not” recognition threshold may be recognized. The interpretation also provides guidance on classification, interest and penalties, accounting in interim periods, disclosure, and tr</w:t>
      </w:r>
      <w:r>
        <w:rPr>
          <w:sz w:val="20"/>
          <w:szCs w:val="20"/>
        </w:rPr>
        <w:t>ansition requirements for uncertain tax positions. FIN No. 48 was effective for the Company’s fiscal year ending June 30, 2007. The Company believes that there were no material tax positions that resulted in a material impact upon implementation of FIN No.</w:t>
      </w:r>
      <w:r>
        <w:rPr>
          <w:sz w:val="20"/>
          <w:szCs w:val="20"/>
        </w:rPr>
        <w:t xml:space="preserve"> 48</w:t>
      </w:r>
      <w:proofErr w:type="gramStart"/>
      <w:r>
        <w:rPr>
          <w:sz w:val="20"/>
          <w:szCs w:val="20"/>
        </w:rPr>
        <w:t>..</w:t>
      </w:r>
      <w:proofErr w:type="gramEnd"/>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w:t>
      </w:r>
      <w:r>
        <w:rPr>
          <w:sz w:val="20"/>
          <w:szCs w:val="20"/>
        </w:rPr>
        <w:t xml:space="preserve">s. SFAS No. 157 applies to fair value measurements already required or permitted by existing standards. SFAS No. 157 will be effective for the Company’s fiscal year ending June 30, 2009. The Company is currently evaluating the requirements of SFAS No. 157 </w:t>
      </w:r>
      <w:r>
        <w:rPr>
          <w:sz w:val="20"/>
          <w:szCs w:val="20"/>
        </w:rPr>
        <w:t>and has not yet determined the impact on its financial condition and results of operations.</w:t>
      </w:r>
    </w:p>
    <w:p w:rsidR="00000000" w:rsidRDefault="00B95558">
      <w:pPr>
        <w:pStyle w:val="NormalWeb"/>
      </w:pPr>
      <w:r>
        <w:rPr>
          <w:sz w:val="20"/>
          <w:szCs w:val="20"/>
        </w:rPr>
        <w:t>In September 2006, the FASB issued SFAS No. 158, “Employers’ Accounting for Defined Benefit Pension and other Postretirement Plans - an amendment of FASB Statemen</w:t>
      </w:r>
      <w:r>
        <w:rPr>
          <w:sz w:val="20"/>
          <w:szCs w:val="20"/>
        </w:rPr>
        <w:t>t No. 87, 88, 106 and 132R”. This pronouncement requires an employer to make certain recognitions, measurements, and disclosures regarding defined benefit postretirement plans. The Company does not have any defined benefit postretirement plans and SFAS No.</w:t>
      </w:r>
      <w:r>
        <w:rPr>
          <w:sz w:val="20"/>
          <w:szCs w:val="20"/>
        </w:rPr>
        <w:t xml:space="preserve"> 158 will not have any impact on its financial condition and results of operations.</w:t>
      </w:r>
    </w:p>
    <w:p w:rsidR="00000000" w:rsidRDefault="00B95558">
      <w:pPr>
        <w:pStyle w:val="NormalWeb"/>
      </w:pPr>
      <w:r>
        <w:rPr>
          <w:sz w:val="20"/>
          <w:szCs w:val="20"/>
        </w:rPr>
        <w:t>In September 2006, the Securities and Exchange Commission issued Staff Accounting Bulletin No. 108 “Considering the Effects of Prior Year Misstatements in Current Year Fin</w:t>
      </w:r>
      <w:r>
        <w:rPr>
          <w:sz w:val="20"/>
          <w:szCs w:val="20"/>
        </w:rPr>
        <w:t xml:space="preserve">ancial Statements” (“SAB 108”). SAB 108 provides guidance on consideration of the effects of prior year misstatements in quantifying current year misstatements for the purpose of a materiality assessment. SAB 108 is effective for fiscal years ending after </w:t>
      </w:r>
      <w:r>
        <w:rPr>
          <w:sz w:val="20"/>
          <w:szCs w:val="20"/>
        </w:rPr>
        <w:t>November 15, 2006. The adoption of SAB 108 did not have an impact on the Company’s consolidated financial statements.</w:t>
      </w:r>
      <w:r>
        <w:rPr>
          <w:sz w:val="20"/>
          <w:szCs w:val="20"/>
        </w:rPr>
        <w:br/>
      </w:r>
      <w:r>
        <w:rPr>
          <w:sz w:val="20"/>
          <w:szCs w:val="20"/>
        </w:rPr>
        <w:br/>
        <w:t xml:space="preserve">In February 2007, the FASB issued SFAS No 159, “The Fair Value Option for Financial Assets and Financial Liabilities” (“SFAS 159”) which </w:t>
      </w:r>
      <w:r>
        <w:rPr>
          <w:sz w:val="20"/>
          <w:szCs w:val="20"/>
        </w:rPr>
        <w:t>permits entities to choose to measure many financial instruments and certain other items at fair value that are not currently required to be measured at fair value. SFAS 159 was effective for us on July 1, 2008. The adoption of SFAS 159 did not have an imp</w:t>
      </w:r>
      <w:r>
        <w:rPr>
          <w:sz w:val="20"/>
          <w:szCs w:val="20"/>
        </w:rPr>
        <w:t>act on the Company’s consolidated financial statements.</w:t>
      </w:r>
    </w:p>
    <w:p w:rsidR="00000000" w:rsidRDefault="00B95558">
      <w:pPr>
        <w:pStyle w:val="NormalWeb"/>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w:t>
      </w:r>
      <w:r>
        <w:rPr>
          <w:sz w:val="20"/>
          <w:szCs w:val="20"/>
        </w:rPr>
        <w:t xml:space="preserve"> No. 157, Fair Value Measurements, in a market that is not active and provides an example to illustrate key considerations in determining the fair value of a financial asset when the market for that financial asset is not active. This FSP could be applicab</w:t>
      </w:r>
      <w:r>
        <w:rPr>
          <w:sz w:val="20"/>
          <w:szCs w:val="20"/>
        </w:rPr>
        <w:t>le to us but the Company currently has no financial assets of this type.</w:t>
      </w:r>
    </w:p>
    <w:p w:rsidR="00000000" w:rsidRDefault="00B95558">
      <w:pPr>
        <w:pStyle w:val="NormalWeb"/>
      </w:pPr>
      <w:r>
        <w:rPr>
          <w:sz w:val="20"/>
          <w:szCs w:val="20"/>
        </w:rPr>
        <w:t>In May 2009, the FASB issued SFAS No. 165, Subsequent Events ("FAS 165"), which provides guidance to establish general standards of accounting for and disclosures of events that occu</w:t>
      </w:r>
      <w:r>
        <w:rPr>
          <w:sz w:val="20"/>
          <w:szCs w:val="20"/>
        </w:rPr>
        <w:t xml:space="preserve">r after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which subsequent events were evaluated as well as the rationale for why that date was selec</w:t>
      </w:r>
      <w:r>
        <w:rPr>
          <w:sz w:val="20"/>
          <w:szCs w:val="20"/>
        </w:rPr>
        <w:t>ted.</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1" style="width:0;height:3pt" o:hralign="center" o:hrstd="t" o:hrnoshade="t" o:hr="t" fillcolor="black" stroked="f"/>
        </w:pict>
      </w:r>
    </w:p>
    <w:p w:rsidR="00000000" w:rsidRDefault="00B95558">
      <w:pPr>
        <w:pStyle w:val="NormalWeb"/>
      </w:pPr>
      <w:r>
        <w:rPr>
          <w:sz w:val="20"/>
          <w:szCs w:val="20"/>
        </w:rPr>
        <w:lastRenderedPageBreak/>
        <w:t>This disclosure should alert all users of financial statements that an entity has not evaluated subsequent events after that date in the set of financial statements being presented. FAS 165 is effective for interim and annual periods ending after Jun</w:t>
      </w:r>
      <w:r>
        <w:rPr>
          <w:sz w:val="20"/>
          <w:szCs w:val="20"/>
        </w:rPr>
        <w:t xml:space="preserve">e 15, 2009 and will be effective for the Company beginning with its interim period ended June 30, 2009. Since FAS 165 at most requires additional disclosures, the Company does not expect the adoption to have a material impact on its consolidated financial </w:t>
      </w:r>
      <w:r>
        <w:rPr>
          <w:sz w:val="20"/>
          <w:szCs w:val="20"/>
        </w:rPr>
        <w:t>position, results of operations or cash flows.</w:t>
      </w:r>
    </w:p>
    <w:p w:rsidR="00000000" w:rsidRDefault="00B95558">
      <w:pPr>
        <w:pStyle w:val="NormalWeb"/>
      </w:pPr>
      <w:r>
        <w:rPr>
          <w:sz w:val="20"/>
          <w:szCs w:val="20"/>
        </w:rPr>
        <w:t>In June 2009, the FASB approved the FASB Accounting Standards Codification (the "Codification"</w:t>
      </w:r>
      <w:r>
        <w:rPr>
          <w:sz w:val="20"/>
          <w:szCs w:val="20"/>
        </w:rPr>
        <w:t xml:space="preserve">) as the single source of authoritative nongovernmental U.S. GAAP to be launched on July 1, 2009. The Codification does not change current U.S. GAAP, but is intended to simplify user access to all authoritative U.S. GAAP by providing all the authoritative </w:t>
      </w:r>
      <w:r>
        <w:rPr>
          <w:sz w:val="20"/>
          <w:szCs w:val="20"/>
        </w:rPr>
        <w:t xml:space="preserve">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w:t>
      </w:r>
      <w:r>
        <w:rPr>
          <w:sz w:val="20"/>
          <w:szCs w:val="20"/>
        </w:rPr>
        <w:t xml:space="preserve"> interim and annual periods ending after September 15, 2009. The Codification is effective for the Company and the Company does not expect the adoption to have a material impact on its consolidated financial position, results of operations or cash flows.</w:t>
      </w:r>
    </w:p>
    <w:p w:rsidR="00000000" w:rsidRDefault="00B95558">
      <w:pPr>
        <w:pStyle w:val="NormalWeb"/>
      </w:pPr>
      <w:r>
        <w:rPr>
          <w:b/>
          <w:bCs/>
          <w:sz w:val="20"/>
          <w:szCs w:val="20"/>
        </w:rPr>
        <w:t>N</w:t>
      </w:r>
      <w:r>
        <w:rPr>
          <w:b/>
          <w:bCs/>
          <w:sz w:val="20"/>
          <w:szCs w:val="20"/>
        </w:rPr>
        <w:t>OTE 3 - MAJOR CUSTOMER:</w:t>
      </w:r>
    </w:p>
    <w:p w:rsidR="00000000" w:rsidRDefault="00B95558">
      <w:pPr>
        <w:pStyle w:val="NormalWeb"/>
      </w:pPr>
      <w:r>
        <w:rPr>
          <w:sz w:val="20"/>
          <w:szCs w:val="20"/>
        </w:rPr>
        <w:t xml:space="preserve">The Company's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sales to two major customers who were non related parts. For the period ending December 31, 2012, June 30, 2012, and June 30, 2010 the major customer concentrations were as fol</w:t>
      </w:r>
      <w:r>
        <w:rPr>
          <w:sz w:val="20"/>
          <w:szCs w:val="20"/>
        </w:rPr>
        <w:t xml:space="preserve">lows: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000" w:type="pct"/>
            <w:shd w:val="clear" w:color="auto" w:fill="CCFFCC"/>
            <w:vAlign w:val="center"/>
            <w:hideMark/>
          </w:tcPr>
          <w:p w:rsidR="00000000" w:rsidRDefault="00B95558">
            <w:pPr>
              <w:rPr>
                <w:rFonts w:eastAsia="Times New Roman"/>
              </w:rPr>
            </w:pPr>
          </w:p>
        </w:tc>
        <w:tc>
          <w:tcPr>
            <w:tcW w:w="0" w:type="auto"/>
            <w:gridSpan w:val="3"/>
            <w:shd w:val="clear" w:color="auto" w:fill="CCFFCC"/>
            <w:vAlign w:val="center"/>
            <w:hideMark/>
          </w:tcPr>
          <w:p w:rsidR="00000000" w:rsidRDefault="00B95558">
            <w:pPr>
              <w:jc w:val="center"/>
              <w:rPr>
                <w:rFonts w:eastAsia="Times New Roman"/>
              </w:rPr>
            </w:pPr>
            <w:r>
              <w:rPr>
                <w:rFonts w:eastAsia="Times New Roman"/>
                <w:b/>
                <w:bCs/>
                <w:sz w:val="20"/>
                <w:szCs w:val="20"/>
              </w:rPr>
              <w:t xml:space="preserve">Percent of Sales </w:t>
            </w:r>
            <w:r>
              <w:rPr>
                <w:rFonts w:eastAsia="Times New Roman"/>
              </w:rPr>
              <w:br/>
            </w:r>
            <w:r>
              <w:rPr>
                <w:rFonts w:eastAsia="Times New Roman"/>
                <w:b/>
                <w:bCs/>
                <w:sz w:val="20"/>
                <w:szCs w:val="20"/>
              </w:rPr>
              <w:t>for the Period ending</w:t>
            </w:r>
          </w:p>
        </w:tc>
      </w:tr>
      <w:tr w:rsidR="00000000">
        <w:trPr>
          <w:tblCellSpacing w:w="15" w:type="dxa"/>
        </w:trPr>
        <w:tc>
          <w:tcPr>
            <w:tcW w:w="0" w:type="auto"/>
            <w:shd w:val="clear" w:color="auto" w:fill="FFFFFF"/>
            <w:vAlign w:val="center"/>
            <w:hideMark/>
          </w:tcPr>
          <w:p w:rsidR="00000000" w:rsidRDefault="00B95558">
            <w:pPr>
              <w:rPr>
                <w:rFonts w:eastAsia="Times New Roman"/>
              </w:rPr>
            </w:pPr>
          </w:p>
        </w:tc>
        <w:tc>
          <w:tcPr>
            <w:tcW w:w="1000" w:type="pct"/>
            <w:shd w:val="clear" w:color="auto" w:fill="FFFFFF"/>
            <w:vAlign w:val="center"/>
            <w:hideMark/>
          </w:tcPr>
          <w:p w:rsidR="00000000" w:rsidRDefault="00B95558">
            <w:pPr>
              <w:jc w:val="center"/>
              <w:rPr>
                <w:rFonts w:eastAsia="Times New Roman"/>
              </w:rPr>
            </w:pPr>
            <w:r>
              <w:rPr>
                <w:rFonts w:eastAsia="Times New Roman"/>
                <w:b/>
                <w:bCs/>
              </w:rPr>
              <w:t>December 31</w:t>
            </w:r>
            <w:r>
              <w:rPr>
                <w:rFonts w:eastAsia="Times New Roman"/>
                <w:b/>
                <w:bCs/>
                <w:sz w:val="20"/>
                <w:szCs w:val="20"/>
              </w:rPr>
              <w:t>,</w:t>
            </w:r>
          </w:p>
        </w:tc>
        <w:tc>
          <w:tcPr>
            <w:tcW w:w="0" w:type="auto"/>
            <w:gridSpan w:val="2"/>
            <w:shd w:val="clear" w:color="auto" w:fill="FFFFFF"/>
            <w:vAlign w:val="center"/>
            <w:hideMark/>
          </w:tcPr>
          <w:p w:rsidR="00000000" w:rsidRDefault="00B95558">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B95558">
            <w:pPr>
              <w:jc w:val="center"/>
              <w:rPr>
                <w:rFonts w:eastAsia="Times New Roman"/>
              </w:rPr>
            </w:pPr>
            <w:r>
              <w:rPr>
                <w:rFonts w:eastAsia="Times New Roman"/>
                <w:b/>
                <w:bCs/>
                <w:sz w:val="20"/>
                <w:szCs w:val="20"/>
              </w:rPr>
              <w:t>Customer</w:t>
            </w:r>
          </w:p>
        </w:tc>
        <w:tc>
          <w:tcPr>
            <w:tcW w:w="0" w:type="auto"/>
            <w:shd w:val="clear" w:color="auto" w:fill="FFFFFF"/>
            <w:vAlign w:val="center"/>
            <w:hideMark/>
          </w:tcPr>
          <w:p w:rsidR="00000000" w:rsidRDefault="00B95558">
            <w:pPr>
              <w:jc w:val="right"/>
              <w:rPr>
                <w:rFonts w:eastAsia="Times New Roman"/>
              </w:rPr>
            </w:pPr>
            <w:r>
              <w:rPr>
                <w:rFonts w:eastAsia="Times New Roman"/>
                <w:b/>
                <w:bCs/>
                <w:sz w:val="20"/>
                <w:szCs w:val="20"/>
                <w:u w:val="single"/>
              </w:rPr>
              <w:t>2012</w:t>
            </w:r>
          </w:p>
        </w:tc>
        <w:tc>
          <w:tcPr>
            <w:tcW w:w="1000" w:type="pct"/>
            <w:shd w:val="clear" w:color="auto" w:fill="FFFFFF"/>
            <w:vAlign w:val="center"/>
            <w:hideMark/>
          </w:tcPr>
          <w:p w:rsidR="00000000" w:rsidRDefault="00B95558">
            <w:pPr>
              <w:jc w:val="right"/>
              <w:rPr>
                <w:rFonts w:eastAsia="Times New Roman"/>
              </w:rPr>
            </w:pPr>
            <w:r>
              <w:rPr>
                <w:rFonts w:eastAsia="Times New Roman"/>
                <w:b/>
                <w:bCs/>
                <w:sz w:val="20"/>
                <w:szCs w:val="20"/>
                <w:u w:val="single"/>
              </w:rPr>
              <w:t>2012</w:t>
            </w:r>
          </w:p>
        </w:tc>
        <w:tc>
          <w:tcPr>
            <w:tcW w:w="1000" w:type="pct"/>
            <w:shd w:val="clear" w:color="auto" w:fill="FFFFFF"/>
            <w:vAlign w:val="center"/>
            <w:hideMark/>
          </w:tcPr>
          <w:p w:rsidR="00000000" w:rsidRDefault="00B95558">
            <w:pPr>
              <w:jc w:val="right"/>
              <w:rPr>
                <w:rFonts w:eastAsia="Times New Roman"/>
              </w:rPr>
            </w:pPr>
            <w:r>
              <w:rPr>
                <w:rFonts w:eastAsia="Times New Roman"/>
                <w:b/>
                <w:bCs/>
                <w:sz w:val="20"/>
                <w:szCs w:val="20"/>
                <w:u w:val="single"/>
              </w:rPr>
              <w:t>2011</w:t>
            </w:r>
          </w:p>
        </w:tc>
      </w:tr>
      <w:tr w:rsidR="00000000">
        <w:trPr>
          <w:tblCellSpacing w:w="15" w:type="dxa"/>
        </w:trPr>
        <w:tc>
          <w:tcPr>
            <w:tcW w:w="0" w:type="auto"/>
            <w:shd w:val="clear" w:color="auto" w:fill="CCFFCC"/>
            <w:vAlign w:val="center"/>
            <w:hideMark/>
          </w:tcPr>
          <w:p w:rsidR="00000000" w:rsidRDefault="00B95558">
            <w:pPr>
              <w:jc w:val="center"/>
              <w:rPr>
                <w:rFonts w:eastAsia="Times New Roman"/>
              </w:rPr>
            </w:pPr>
            <w:r>
              <w:rPr>
                <w:rFonts w:eastAsia="Times New Roman"/>
                <w:sz w:val="20"/>
                <w:szCs w:val="20"/>
              </w:rPr>
              <w:t>A</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100%</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100%</w:t>
            </w:r>
          </w:p>
        </w:tc>
      </w:tr>
      <w:tr w:rsidR="00000000">
        <w:trPr>
          <w:tblCellSpacing w:w="15" w:type="dxa"/>
        </w:trPr>
        <w:tc>
          <w:tcPr>
            <w:tcW w:w="0" w:type="auto"/>
            <w:shd w:val="clear" w:color="auto" w:fill="FFFFFF"/>
            <w:vAlign w:val="center"/>
            <w:hideMark/>
          </w:tcPr>
          <w:p w:rsidR="00000000" w:rsidRDefault="00B95558">
            <w:pPr>
              <w:jc w:val="center"/>
              <w:rPr>
                <w:rFonts w:eastAsia="Times New Roman"/>
              </w:rPr>
            </w:pPr>
            <w:r>
              <w:rPr>
                <w:rFonts w:eastAsia="Times New Roman"/>
                <w:sz w:val="20"/>
                <w:szCs w:val="20"/>
              </w:rPr>
              <w:t>B</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0%</w:t>
            </w:r>
          </w:p>
        </w:tc>
        <w:tc>
          <w:tcPr>
            <w:tcW w:w="0" w:type="auto"/>
            <w:shd w:val="clear" w:color="auto" w:fill="FFFFFF"/>
            <w:vAlign w:val="center"/>
            <w:hideMark/>
          </w:tcPr>
          <w:p w:rsidR="00000000" w:rsidRDefault="00B95558">
            <w:pPr>
              <w:jc w:val="right"/>
              <w:rPr>
                <w:rFonts w:eastAsia="Times New Roman"/>
              </w:rPr>
            </w:pPr>
            <w:r>
              <w:rPr>
                <w:rFonts w:eastAsia="Times New Roman"/>
                <w:sz w:val="20"/>
                <w:szCs w:val="20"/>
              </w:rPr>
              <w:t>0%</w:t>
            </w:r>
          </w:p>
        </w:tc>
      </w:tr>
      <w:tr w:rsidR="00000000">
        <w:trPr>
          <w:tblCellSpacing w:w="15" w:type="dxa"/>
        </w:trPr>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1" style="width:0;height:1.5pt" o:hralign="center" o:hrstd="t" o:hr="t" fillcolor="#aca899" stroked="f"/>
              </w:pict>
            </w:r>
          </w:p>
        </w:tc>
        <w:tc>
          <w:tcPr>
            <w:tcW w:w="0" w:type="auto"/>
            <w:shd w:val="clear" w:color="auto" w:fill="CCFFCC"/>
            <w:vAlign w:val="center"/>
            <w:hideMark/>
          </w:tcPr>
          <w:p w:rsidR="00000000" w:rsidRDefault="00B30F28">
            <w:pPr>
              <w:rPr>
                <w:rFonts w:eastAsia="Times New Roman"/>
              </w:rPr>
            </w:pPr>
            <w:r>
              <w:rPr>
                <w:rFonts w:eastAsia="Times New Roman"/>
              </w:rPr>
              <w:pict>
                <v:rect id="_x0000_i1042" style="width:0;height:1.5pt" o:hralign="center" o:hrstd="t" o:hr="t" fillcolor="#aca899" stroked="f"/>
              </w:pict>
            </w:r>
          </w:p>
        </w:tc>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3" style="width:0;height:1.5pt" o:hralign="center" o:hrstd="t" o:hr="t" fillcolor="#aca899" stroked="f"/>
              </w:pict>
            </w:r>
          </w:p>
        </w:tc>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4" style="width:0;height:1.5pt" o:hralign="center" o:hrstd="t" o:hr="t" fillcolor="#aca899" stroked="f"/>
              </w:pict>
            </w:r>
          </w:p>
        </w:tc>
      </w:tr>
      <w:tr w:rsidR="00000000">
        <w:trPr>
          <w:tblCellSpacing w:w="15" w:type="dxa"/>
        </w:trPr>
        <w:tc>
          <w:tcPr>
            <w:tcW w:w="0" w:type="auto"/>
            <w:shd w:val="clear" w:color="auto" w:fill="FFFFFF"/>
            <w:vAlign w:val="center"/>
            <w:hideMark/>
          </w:tcPr>
          <w:p w:rsidR="00000000" w:rsidRDefault="00B95558">
            <w:pPr>
              <w:jc w:val="right"/>
              <w:rPr>
                <w:rFonts w:eastAsia="Times New Roman"/>
              </w:rPr>
            </w:pPr>
            <w:r>
              <w:rPr>
                <w:rFonts w:eastAsia="Times New Roman"/>
                <w:b/>
                <w:bCs/>
                <w:sz w:val="20"/>
                <w:szCs w:val="20"/>
              </w:rPr>
              <w:t>Total Sales from Major Customers</w:t>
            </w:r>
          </w:p>
        </w:tc>
        <w:tc>
          <w:tcPr>
            <w:tcW w:w="0" w:type="auto"/>
            <w:shd w:val="clear" w:color="auto" w:fill="FFFFFF"/>
            <w:vAlign w:val="center"/>
            <w:hideMark/>
          </w:tcPr>
          <w:p w:rsidR="00000000" w:rsidRDefault="00B95558">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B95558">
            <w:pPr>
              <w:jc w:val="right"/>
              <w:rPr>
                <w:rFonts w:eastAsia="Times New Roman"/>
              </w:rPr>
            </w:pPr>
            <w:r>
              <w:rPr>
                <w:rFonts w:eastAsia="Times New Roman"/>
                <w:b/>
                <w:bCs/>
                <w:sz w:val="20"/>
                <w:szCs w:val="20"/>
              </w:rPr>
              <w:t>100%</w:t>
            </w:r>
          </w:p>
        </w:tc>
        <w:tc>
          <w:tcPr>
            <w:tcW w:w="0" w:type="auto"/>
            <w:shd w:val="clear" w:color="auto" w:fill="FFFFFF"/>
            <w:vAlign w:val="center"/>
            <w:hideMark/>
          </w:tcPr>
          <w:p w:rsidR="00000000" w:rsidRDefault="00B95558">
            <w:pPr>
              <w:jc w:val="right"/>
              <w:rPr>
                <w:rFonts w:eastAsia="Times New Roman"/>
              </w:rPr>
            </w:pPr>
            <w:r>
              <w:rPr>
                <w:rFonts w:eastAsia="Times New Roman"/>
                <w:b/>
                <w:bCs/>
                <w:sz w:val="20"/>
                <w:szCs w:val="20"/>
              </w:rPr>
              <w:t>100%</w:t>
            </w:r>
          </w:p>
        </w:tc>
      </w:tr>
    </w:tbl>
    <w:p w:rsidR="00000000" w:rsidRDefault="00B95558">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000000" w:rsidRDefault="00B95558">
      <w:pPr>
        <w:rPr>
          <w:rFonts w:eastAsia="Times New Roman"/>
        </w:rPr>
      </w:pPr>
      <w:r>
        <w:rPr>
          <w:rFonts w:eastAsia="Times New Roman"/>
          <w:sz w:val="20"/>
          <w:szCs w:val="20"/>
        </w:rPr>
        <w:t>The Land owned by the Company's wholly owned subsidiary constitutes the largest asset of the Company. During the period ending December 31, 2012 the Company recorded no change in the value of the Land. The value of the Land of the Company was as follows:</w:t>
      </w:r>
      <w:r>
        <w:rPr>
          <w:rFonts w:eastAsia="Times New Roman"/>
        </w:rPr>
        <w:t xml:space="preserve"> </w:t>
      </w:r>
    </w:p>
    <w:tbl>
      <w:tblPr>
        <w:tblW w:w="2500" w:type="pct"/>
        <w:tblCellSpacing w:w="15" w:type="dxa"/>
        <w:tblCellMar>
          <w:left w:w="0" w:type="dxa"/>
          <w:right w:w="0" w:type="dxa"/>
        </w:tblCellMar>
        <w:tblLook w:val="04A0"/>
      </w:tblPr>
      <w:tblGrid>
        <w:gridCol w:w="1485"/>
        <w:gridCol w:w="1470"/>
        <w:gridCol w:w="1470"/>
        <w:gridCol w:w="1485"/>
      </w:tblGrid>
      <w:tr w:rsidR="00000000">
        <w:trPr>
          <w:tblCellSpacing w:w="15" w:type="dxa"/>
        </w:trPr>
        <w:tc>
          <w:tcPr>
            <w:tcW w:w="2500" w:type="pct"/>
            <w:shd w:val="clear" w:color="auto" w:fill="CCFFCC"/>
            <w:vAlign w:val="center"/>
            <w:hideMark/>
          </w:tcPr>
          <w:p w:rsidR="00000000" w:rsidRDefault="00B95558">
            <w:pPr>
              <w:rPr>
                <w:rFonts w:eastAsia="Times New Roman"/>
              </w:rPr>
            </w:pPr>
          </w:p>
        </w:tc>
        <w:tc>
          <w:tcPr>
            <w:tcW w:w="0" w:type="auto"/>
            <w:gridSpan w:val="3"/>
            <w:shd w:val="clear" w:color="auto" w:fill="CCFFCC"/>
            <w:vAlign w:val="center"/>
            <w:hideMark/>
          </w:tcPr>
          <w:p w:rsidR="00000000" w:rsidRDefault="00B95558">
            <w:pPr>
              <w:jc w:val="center"/>
              <w:rPr>
                <w:rFonts w:eastAsia="Times New Roman"/>
              </w:rPr>
            </w:pPr>
            <w:r>
              <w:rPr>
                <w:rFonts w:eastAsia="Times New Roman"/>
                <w:b/>
                <w:bCs/>
                <w:sz w:val="20"/>
                <w:szCs w:val="20"/>
              </w:rPr>
              <w:t>Value of Land,</w:t>
            </w:r>
          </w:p>
        </w:tc>
      </w:tr>
      <w:tr w:rsidR="00000000">
        <w:trPr>
          <w:tblCellSpacing w:w="15" w:type="dxa"/>
        </w:trPr>
        <w:tc>
          <w:tcPr>
            <w:tcW w:w="2500" w:type="pct"/>
            <w:shd w:val="clear" w:color="auto" w:fill="CCFFCC"/>
            <w:vAlign w:val="center"/>
            <w:hideMark/>
          </w:tcPr>
          <w:p w:rsidR="00000000" w:rsidRDefault="00B95558">
            <w:pPr>
              <w:rPr>
                <w:rFonts w:eastAsia="Times New Roman"/>
              </w:rPr>
            </w:pPr>
          </w:p>
        </w:tc>
        <w:tc>
          <w:tcPr>
            <w:tcW w:w="0" w:type="auto"/>
            <w:shd w:val="clear" w:color="auto" w:fill="CCFFCC"/>
            <w:vAlign w:val="center"/>
            <w:hideMark/>
          </w:tcPr>
          <w:p w:rsidR="00000000" w:rsidRDefault="00B95558">
            <w:pPr>
              <w:rPr>
                <w:rFonts w:eastAsia="Times New Roman"/>
              </w:rPr>
            </w:pPr>
          </w:p>
        </w:tc>
        <w:tc>
          <w:tcPr>
            <w:tcW w:w="0" w:type="auto"/>
            <w:gridSpan w:val="2"/>
            <w:shd w:val="clear" w:color="auto" w:fill="CCFFCC"/>
            <w:vAlign w:val="center"/>
            <w:hideMark/>
          </w:tcPr>
          <w:p w:rsidR="00000000" w:rsidRDefault="00B95558">
            <w:pPr>
              <w:jc w:val="center"/>
              <w:rPr>
                <w:rFonts w:eastAsia="Times New Roman"/>
              </w:rPr>
            </w:pPr>
            <w:r>
              <w:rPr>
                <w:rFonts w:eastAsia="Times New Roman"/>
                <w:b/>
                <w:bCs/>
                <w:sz w:val="20"/>
                <w:szCs w:val="20"/>
              </w:rPr>
              <w:t>June 30,</w:t>
            </w:r>
          </w:p>
        </w:tc>
      </w:tr>
      <w:tr w:rsidR="00000000">
        <w:trPr>
          <w:tblCellSpacing w:w="15" w:type="dxa"/>
        </w:trPr>
        <w:tc>
          <w:tcPr>
            <w:tcW w:w="0" w:type="auto"/>
            <w:shd w:val="clear" w:color="auto" w:fill="FFFFFF"/>
            <w:vAlign w:val="center"/>
            <w:hideMark/>
          </w:tcPr>
          <w:p w:rsidR="00000000" w:rsidRDefault="00B95558">
            <w:pPr>
              <w:rPr>
                <w:rFonts w:eastAsia="Times New Roman"/>
              </w:rPr>
            </w:pPr>
          </w:p>
        </w:tc>
        <w:tc>
          <w:tcPr>
            <w:tcW w:w="1000" w:type="pct"/>
            <w:shd w:val="clear" w:color="auto" w:fill="FFFFFF"/>
            <w:vAlign w:val="center"/>
            <w:hideMark/>
          </w:tcPr>
          <w:p w:rsidR="00000000" w:rsidRDefault="00B95558">
            <w:pPr>
              <w:jc w:val="center"/>
              <w:rPr>
                <w:rFonts w:eastAsia="Times New Roman"/>
              </w:rPr>
            </w:pPr>
            <w:r>
              <w:rPr>
                <w:rFonts w:eastAsia="Times New Roman"/>
                <w:b/>
                <w:bCs/>
                <w:sz w:val="20"/>
                <w:szCs w:val="20"/>
              </w:rPr>
              <w:t>December 31, 2012</w:t>
            </w:r>
          </w:p>
        </w:tc>
        <w:tc>
          <w:tcPr>
            <w:tcW w:w="0" w:type="auto"/>
            <w:shd w:val="clear" w:color="auto" w:fill="FFFFFF"/>
            <w:vAlign w:val="center"/>
            <w:hideMark/>
          </w:tcPr>
          <w:p w:rsidR="00000000" w:rsidRDefault="00B95558">
            <w:pPr>
              <w:jc w:val="center"/>
              <w:rPr>
                <w:rFonts w:eastAsia="Times New Roman"/>
              </w:rPr>
            </w:pPr>
            <w:r>
              <w:rPr>
                <w:rFonts w:eastAsia="Times New Roman"/>
                <w:b/>
                <w:bCs/>
                <w:sz w:val="20"/>
                <w:szCs w:val="20"/>
                <w:u w:val="single"/>
              </w:rPr>
              <w:t>2012</w:t>
            </w:r>
          </w:p>
        </w:tc>
        <w:tc>
          <w:tcPr>
            <w:tcW w:w="0" w:type="auto"/>
            <w:shd w:val="clear" w:color="auto" w:fill="FFFFFF"/>
            <w:vAlign w:val="center"/>
            <w:hideMark/>
          </w:tcPr>
          <w:p w:rsidR="00000000" w:rsidRDefault="00B95558">
            <w:pPr>
              <w:jc w:val="center"/>
              <w:rPr>
                <w:rFonts w:eastAsia="Times New Roman"/>
              </w:rPr>
            </w:pPr>
            <w:r>
              <w:rPr>
                <w:rFonts w:eastAsia="Times New Roman"/>
                <w:b/>
                <w:bCs/>
                <w:sz w:val="20"/>
                <w:szCs w:val="20"/>
                <w:u w:val="single"/>
              </w:rPr>
              <w:t>2011</w:t>
            </w:r>
          </w:p>
        </w:tc>
      </w:tr>
      <w:tr w:rsidR="00000000">
        <w:trPr>
          <w:tblCellSpacing w:w="15" w:type="dxa"/>
        </w:trPr>
        <w:tc>
          <w:tcPr>
            <w:tcW w:w="0" w:type="auto"/>
            <w:shd w:val="clear" w:color="auto" w:fill="CCFFCC"/>
            <w:vAlign w:val="center"/>
            <w:hideMark/>
          </w:tcPr>
          <w:p w:rsidR="00000000" w:rsidRDefault="00B95558">
            <w:pPr>
              <w:jc w:val="center"/>
              <w:rPr>
                <w:rFonts w:eastAsia="Times New Roman"/>
              </w:rPr>
            </w:pPr>
            <w:r>
              <w:rPr>
                <w:rFonts w:eastAsia="Times New Roman"/>
                <w:sz w:val="20"/>
                <w:szCs w:val="20"/>
              </w:rPr>
              <w:t>US Dollars</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$559,322</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$559,322</w:t>
            </w:r>
          </w:p>
        </w:tc>
        <w:tc>
          <w:tcPr>
            <w:tcW w:w="0" w:type="auto"/>
            <w:shd w:val="clear" w:color="auto" w:fill="CCFFCC"/>
            <w:vAlign w:val="center"/>
            <w:hideMark/>
          </w:tcPr>
          <w:p w:rsidR="00000000" w:rsidRDefault="00B95558">
            <w:pPr>
              <w:jc w:val="right"/>
              <w:rPr>
                <w:rFonts w:eastAsia="Times New Roman"/>
              </w:rPr>
            </w:pPr>
            <w:r>
              <w:rPr>
                <w:rFonts w:eastAsia="Times New Roman"/>
                <w:sz w:val="20"/>
                <w:szCs w:val="20"/>
              </w:rPr>
              <w:t>$622,642</w:t>
            </w:r>
          </w:p>
        </w:tc>
      </w:tr>
      <w:tr w:rsidR="00000000">
        <w:trPr>
          <w:tblCellSpacing w:w="15" w:type="dxa"/>
        </w:trPr>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5" style="width:0;height:1.5pt" o:hralign="center" o:hrstd="t" o:hr="t" fillcolor="#aca899" stroked="f"/>
              </w:pict>
            </w:r>
          </w:p>
        </w:tc>
        <w:tc>
          <w:tcPr>
            <w:tcW w:w="0" w:type="auto"/>
            <w:shd w:val="clear" w:color="auto" w:fill="CCFFCC"/>
            <w:vAlign w:val="center"/>
            <w:hideMark/>
          </w:tcPr>
          <w:p w:rsidR="00000000" w:rsidRDefault="00B30F28">
            <w:pPr>
              <w:rPr>
                <w:rFonts w:eastAsia="Times New Roman"/>
              </w:rPr>
            </w:pPr>
            <w:r>
              <w:rPr>
                <w:rFonts w:eastAsia="Times New Roman"/>
              </w:rPr>
              <w:pict>
                <v:rect id="_x0000_i1046" style="width:0;height:1.5pt" o:hralign="center" o:hrstd="t" o:hr="t" fillcolor="#aca899" stroked="f"/>
              </w:pict>
            </w:r>
          </w:p>
        </w:tc>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7" style="width:0;height:1.5pt" o:hralign="center" o:hrstd="t" o:hr="t" fillcolor="#aca899" stroked="f"/>
              </w:pict>
            </w:r>
          </w:p>
        </w:tc>
        <w:tc>
          <w:tcPr>
            <w:tcW w:w="0" w:type="auto"/>
            <w:shd w:val="clear" w:color="auto" w:fill="CCFFCC"/>
            <w:vAlign w:val="center"/>
            <w:hideMark/>
          </w:tcPr>
          <w:p w:rsidR="00000000" w:rsidRDefault="00B30F28">
            <w:pPr>
              <w:jc w:val="right"/>
              <w:rPr>
                <w:rFonts w:eastAsia="Times New Roman"/>
                <w:sz w:val="20"/>
                <w:szCs w:val="20"/>
              </w:rPr>
            </w:pPr>
            <w:r>
              <w:rPr>
                <w:rFonts w:eastAsia="Times New Roman"/>
                <w:sz w:val="20"/>
                <w:szCs w:val="20"/>
              </w:rPr>
              <w:pict>
                <v:rect id="_x0000_i1048" style="width:0;height:1.5pt" o:hralign="center" o:hrstd="t" o:hr="t" fillcolor="#aca899" stroked="f"/>
              </w:pict>
            </w:r>
          </w:p>
        </w:tc>
      </w:tr>
    </w:tbl>
    <w:p w:rsidR="00000000" w:rsidRDefault="00B95558">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Pr>
          <w:sz w:val="20"/>
          <w:szCs w:val="20"/>
        </w:rPr>
        <w:t xml:space="preserve">The Company purchased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w:t>
      </w:r>
      <w:r>
        <w:rPr>
          <w:sz w:val="20"/>
          <w:szCs w:val="20"/>
        </w:rPr>
        <w:t xml:space="preserve">ficer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t>
      </w:r>
      <w:proofErr w:type="spellStart"/>
      <w:r>
        <w:rPr>
          <w:sz w:val="20"/>
          <w:szCs w:val="20"/>
        </w:rPr>
        <w:t>Aage</w:t>
      </w:r>
      <w:proofErr w:type="spellEnd"/>
      <w:r>
        <w:rPr>
          <w:sz w:val="20"/>
          <w:szCs w:val="20"/>
        </w:rPr>
        <w:t xml:space="preserve"> Madsen was a director of Anton Nielsen </w:t>
      </w:r>
      <w:proofErr w:type="spellStart"/>
      <w:r>
        <w:rPr>
          <w:sz w:val="20"/>
          <w:szCs w:val="20"/>
        </w:rPr>
        <w:t>Vojens</w:t>
      </w:r>
      <w:proofErr w:type="spellEnd"/>
      <w:r>
        <w:rPr>
          <w:sz w:val="20"/>
          <w:szCs w:val="20"/>
        </w:rPr>
        <w:t xml:space="preserve">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debt to </w:t>
      </w:r>
      <w:proofErr w:type="spellStart"/>
      <w:r>
        <w:rPr>
          <w:sz w:val="20"/>
          <w:szCs w:val="20"/>
        </w:rPr>
        <w:t>Bork</w:t>
      </w:r>
      <w:r>
        <w:rPr>
          <w:sz w:val="20"/>
          <w:szCs w:val="20"/>
        </w:rPr>
        <w:t>wood</w:t>
      </w:r>
      <w:proofErr w:type="spellEnd"/>
      <w:r>
        <w:rPr>
          <w:sz w:val="20"/>
          <w:szCs w:val="20"/>
        </w:rPr>
        <w:t xml:space="preserve"> Development LTD at December 31, 2012 was $</w:t>
      </w:r>
      <w:proofErr w:type="gramStart"/>
      <w:r>
        <w:rPr>
          <w:sz w:val="20"/>
          <w:szCs w:val="20"/>
        </w:rPr>
        <w:t>122,726 .</w:t>
      </w:r>
      <w:proofErr w:type="gramEnd"/>
    </w:p>
    <w:p w:rsidR="00000000" w:rsidRDefault="00B95558">
      <w:pPr>
        <w:pStyle w:val="NormalWeb"/>
      </w:pPr>
      <w:r>
        <w:rPr>
          <w:b/>
          <w:bCs/>
          <w:sz w:val="20"/>
          <w:szCs w:val="20"/>
        </w:rPr>
        <w:t>NOTE 6 - COMMITMENTS AND CONTINGENCIES:</w:t>
      </w:r>
    </w:p>
    <w:p w:rsidR="00000000" w:rsidRDefault="00B95558">
      <w:pPr>
        <w:pStyle w:val="NormalWeb"/>
      </w:pPr>
      <w:r>
        <w:rPr>
          <w:i/>
          <w:iCs/>
          <w:sz w:val="20"/>
          <w:szCs w:val="20"/>
        </w:rPr>
        <w:t>Commitments</w:t>
      </w:r>
      <w:r>
        <w:rPr>
          <w:sz w:val="20"/>
          <w:szCs w:val="20"/>
        </w:rPr>
        <w:t>:</w:t>
      </w:r>
    </w:p>
    <w:p w:rsidR="009D695C" w:rsidRDefault="00B95558" w:rsidP="009D695C">
      <w:pPr>
        <w:rPr>
          <w:rFonts w:eastAsia="Times New Roman"/>
          <w:sz w:val="20"/>
          <w:szCs w:val="20"/>
        </w:rPr>
      </w:pPr>
      <w:r>
        <w:rPr>
          <w:sz w:val="20"/>
          <w:szCs w:val="20"/>
        </w:rPr>
        <w:t xml:space="preserve">The Company has issued a promissory note ("Note") for $650,000, payable to the </w:t>
      </w:r>
      <w:proofErr w:type="spellStart"/>
      <w:r>
        <w:rPr>
          <w:sz w:val="20"/>
          <w:szCs w:val="20"/>
        </w:rPr>
        <w:t>Borkwood</w:t>
      </w:r>
      <w:proofErr w:type="spellEnd"/>
      <w:r>
        <w:rPr>
          <w:sz w:val="20"/>
          <w:szCs w:val="20"/>
        </w:rPr>
        <w:t xml:space="preserve"> Development Ltd, a previous shareholder of the Company (</w:t>
      </w:r>
      <w:r>
        <w:rPr>
          <w:sz w:val="20"/>
          <w:szCs w:val="20"/>
        </w:rPr>
        <w:t xml:space="preserve">"Seller"), payable and amortized monthly and carrying </w:t>
      </w:r>
      <w:proofErr w:type="gramStart"/>
      <w:r>
        <w:rPr>
          <w:sz w:val="20"/>
          <w:szCs w:val="20"/>
        </w:rPr>
        <w:t>a</w:t>
      </w:r>
      <w:proofErr w:type="gramEnd"/>
      <w:r>
        <w:rPr>
          <w:sz w:val="20"/>
          <w:szCs w:val="20"/>
        </w:rPr>
        <w:t xml:space="preserve"> interest at 5% per year. The Company has the right to </w:t>
      </w:r>
      <w:hyperlink w:anchor="toc" w:history="1">
        <w:r w:rsidR="009D695C">
          <w:rPr>
            <w:rStyle w:val="Hyperlink"/>
            <w:rFonts w:eastAsia="Times New Roman"/>
            <w:b/>
            <w:bCs/>
            <w:sz w:val="20"/>
            <w:szCs w:val="20"/>
          </w:rPr>
          <w:t>Return to Table of Contents</w:t>
        </w:r>
      </w:hyperlink>
      <w:r w:rsidR="009D695C">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2" style="width:0;height:3pt" o:hralign="center" o:hrstd="t" o:hrnoshade="t" o:hr="t" fillcolor="black" stroked="f"/>
        </w:pict>
      </w:r>
    </w:p>
    <w:p w:rsidR="00000000" w:rsidRDefault="00B95558">
      <w:pPr>
        <w:pStyle w:val="NormalWeb"/>
      </w:pPr>
      <w:proofErr w:type="gramStart"/>
      <w:r>
        <w:rPr>
          <w:sz w:val="20"/>
          <w:szCs w:val="20"/>
        </w:rPr>
        <w:lastRenderedPageBreak/>
        <w:t>prepay</w:t>
      </w:r>
      <w:proofErr w:type="gramEnd"/>
      <w:r>
        <w:rPr>
          <w:sz w:val="20"/>
          <w:szCs w:val="20"/>
        </w:rPr>
        <w:t xml:space="preserve"> the note at any time with a notice of 14 days. To secure the payment of principal and interest the Sellers will receive a perfect lien and </w:t>
      </w:r>
      <w:r>
        <w:rPr>
          <w:sz w:val="20"/>
          <w:szCs w:val="20"/>
        </w:rPr>
        <w:t>security interest in the Shares in the company ANV until the note with accrued interest is paid in full., and, 2) In the case that the Note has not been repaid within 12 months from the day of closing the Sellers have the right to convert the debt to commo</w:t>
      </w:r>
      <w:r>
        <w:rPr>
          <w:sz w:val="20"/>
          <w:szCs w:val="20"/>
        </w:rPr>
        <w:t xml:space="preserve">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Pr>
          <w:sz w:val="20"/>
          <w:szCs w:val="20"/>
        </w:rPr>
        <w:t>w</w:t>
      </w:r>
      <w:r>
        <w:rPr>
          <w:sz w:val="20"/>
          <w:szCs w:val="20"/>
        </w:rPr>
        <w:t>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Note has been extended until July 1, 2013 and interest waived through the period ending </w:t>
      </w:r>
      <w:r>
        <w:rPr>
          <w:sz w:val="20"/>
          <w:szCs w:val="20"/>
        </w:rPr>
        <w:t>June 30, 2012.</w:t>
      </w:r>
    </w:p>
    <w:p w:rsidR="00000000" w:rsidRDefault="00B95558">
      <w:pPr>
        <w:pStyle w:val="NormalWeb"/>
      </w:pPr>
      <w:r>
        <w:rPr>
          <w:sz w:val="20"/>
          <w:szCs w:val="20"/>
        </w:rPr>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The original amount of the note was </w:t>
      </w:r>
      <w:proofErr w:type="spellStart"/>
      <w:r>
        <w:rPr>
          <w:sz w:val="20"/>
          <w:szCs w:val="20"/>
        </w:rPr>
        <w:t>kr</w:t>
      </w:r>
      <w:proofErr w:type="spellEnd"/>
      <w:r>
        <w:rPr>
          <w:sz w:val="20"/>
          <w:szCs w:val="20"/>
        </w:rPr>
        <w:t xml:space="preserve"> 750,000 Danish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xml:space="preserve">). The note is unsecured and uncollateralized, with a 7.00% interest rate and </w:t>
      </w:r>
      <w:proofErr w:type="gramStart"/>
      <w:r>
        <w:rPr>
          <w:sz w:val="20"/>
          <w:szCs w:val="20"/>
        </w:rPr>
        <w:t>a 9</w:t>
      </w:r>
      <w:proofErr w:type="gramEnd"/>
      <w:r>
        <w:rPr>
          <w:sz w:val="20"/>
          <w:szCs w:val="20"/>
        </w:rPr>
        <w:t xml:space="preserve"> years left on the term. The balances on the note as of December 31, 2012 and December 31, 2011 were $57,230 and $73,510 respectively and the yearly payments are fixed at </w:t>
      </w:r>
      <w:proofErr w:type="spellStart"/>
      <w:r>
        <w:rPr>
          <w:sz w:val="20"/>
          <w:szCs w:val="20"/>
        </w:rPr>
        <w:t>kr</w:t>
      </w:r>
      <w:proofErr w:type="spellEnd"/>
      <w:r>
        <w:rPr>
          <w:sz w:val="20"/>
          <w:szCs w:val="20"/>
        </w:rPr>
        <w:t xml:space="preserve"> 75,000.</w:t>
      </w:r>
    </w:p>
    <w:p w:rsidR="00000000" w:rsidRDefault="00B95558">
      <w:pPr>
        <w:pStyle w:val="NormalWeb"/>
      </w:pPr>
      <w:r>
        <w:rPr>
          <w:b/>
          <w:bCs/>
          <w:sz w:val="20"/>
          <w:szCs w:val="20"/>
        </w:rPr>
        <w:t>NOTE 7 - DUE TO AFFILIATE</w:t>
      </w:r>
    </w:p>
    <w:p w:rsidR="00000000" w:rsidRDefault="00B95558">
      <w:pPr>
        <w:pStyle w:val="NormalWeb"/>
      </w:pPr>
      <w:r>
        <w:rPr>
          <w:i/>
          <w:iCs/>
          <w:sz w:val="20"/>
          <w:szCs w:val="20"/>
        </w:rPr>
        <w:t>Due to affiliate consisted of:</w:t>
      </w:r>
      <w:r>
        <w:rPr>
          <w:sz w:val="20"/>
          <w:szCs w:val="20"/>
        </w:rPr>
        <w:t xml:space="preserve"> Advances payable</w:t>
      </w:r>
      <w:r>
        <w:rPr>
          <w:sz w:val="20"/>
          <w:szCs w:val="20"/>
        </w:rPr>
        <w:t xml:space="preserve"> to Crossfield, Inc., a related party, which are not collateralized, non-interest bearing, and payable upon demand, however, the Company did not expect to make payment within one year. During the 3 month period ended December 31, 2012 and 2011 the Company </w:t>
      </w:r>
      <w:r>
        <w:rPr>
          <w:sz w:val="20"/>
          <w:szCs w:val="20"/>
        </w:rPr>
        <w:t xml:space="preserve">had borrowed $1,975 and $0 and had balances of $42,243 and $38,793 respectively, from affiliates and officers to meet expenses. The balances were not collateralized, were non-interest bearing and were payable on demand. </w:t>
      </w:r>
    </w:p>
    <w:p w:rsidR="00000000" w:rsidRDefault="00B95558">
      <w:pPr>
        <w:pStyle w:val="NormalWeb"/>
        <w:spacing w:after="240" w:afterAutospacing="0"/>
      </w:pPr>
      <w:r>
        <w:rPr>
          <w:b/>
          <w:bCs/>
          <w:sz w:val="20"/>
          <w:szCs w:val="20"/>
        </w:rPr>
        <w:t>NOTE 8 - INCOME TAXES</w:t>
      </w:r>
    </w:p>
    <w:p w:rsidR="00000000" w:rsidRDefault="00B95558">
      <w:pPr>
        <w:spacing w:before="100" w:beforeAutospacing="1" w:after="240"/>
        <w:divId w:val="1670930"/>
      </w:pPr>
      <w:r>
        <w:rPr>
          <w:sz w:val="20"/>
          <w:szCs w:val="20"/>
        </w:rPr>
        <w:t>As of Decem</w:t>
      </w:r>
      <w:r>
        <w:rPr>
          <w:sz w:val="20"/>
          <w:szCs w:val="20"/>
        </w:rPr>
        <w:t xml:space="preserve">ber 31, 2012, the Company had federal and state net operating loss </w:t>
      </w:r>
      <w:proofErr w:type="spellStart"/>
      <w:r>
        <w:rPr>
          <w:sz w:val="20"/>
          <w:szCs w:val="20"/>
        </w:rPr>
        <w:t>carryforwards</w:t>
      </w:r>
      <w:proofErr w:type="spellEnd"/>
      <w:r>
        <w:rPr>
          <w:sz w:val="20"/>
          <w:szCs w:val="20"/>
        </w:rPr>
        <w:t xml:space="preserve"> of approximately $12,400,000 of which approximately $1,160,000 may be utilized to offset future taxable income. Section 382 of the Internal Revenue Code imposes substantial re</w:t>
      </w:r>
      <w:r>
        <w:rPr>
          <w:sz w:val="20"/>
          <w:szCs w:val="20"/>
        </w:rPr>
        <w:t xml:space="preserve">strictions on the utilization of net operating loss and tax credit </w:t>
      </w:r>
      <w:proofErr w:type="spellStart"/>
      <w:r>
        <w:rPr>
          <w:sz w:val="20"/>
          <w:szCs w:val="20"/>
        </w:rPr>
        <w:t>carryforwards</w:t>
      </w:r>
      <w:proofErr w:type="spellEnd"/>
      <w:r>
        <w:rPr>
          <w:sz w:val="20"/>
          <w:szCs w:val="20"/>
        </w:rPr>
        <w:t xml:space="preserve"> when a change in ownership occurs. No deferred tax debits have been recorded because it is considered unlikely that they will be realized. The loss </w:t>
      </w:r>
      <w:proofErr w:type="spellStart"/>
      <w:r>
        <w:rPr>
          <w:sz w:val="20"/>
          <w:szCs w:val="20"/>
        </w:rPr>
        <w:t>carryforwards</w:t>
      </w:r>
      <w:proofErr w:type="spellEnd"/>
      <w:r>
        <w:rPr>
          <w:sz w:val="20"/>
          <w:szCs w:val="20"/>
        </w:rPr>
        <w:t xml:space="preserve"> will expire d</w:t>
      </w:r>
      <w:r>
        <w:rPr>
          <w:sz w:val="20"/>
          <w:szCs w:val="20"/>
        </w:rPr>
        <w:t>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rPr>
                <w:rFonts w:eastAsia="Times New Roman"/>
              </w:rPr>
            </w:pPr>
            <w:r>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jc w:val="right"/>
              <w:rPr>
                <w:rFonts w:eastAsia="Times New Roman"/>
              </w:rPr>
            </w:pPr>
            <w:r>
              <w:rPr>
                <w:rFonts w:eastAsia="Times New Roman"/>
                <w:sz w:val="20"/>
                <w:szCs w:val="20"/>
              </w:rPr>
              <w:t>Amount</w:t>
            </w:r>
          </w:p>
        </w:tc>
      </w:tr>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jc w:val="right"/>
              <w:rPr>
                <w:rFonts w:eastAsia="Times New Roman"/>
              </w:rPr>
            </w:pPr>
            <w:r>
              <w:rPr>
                <w:rFonts w:eastAsia="Times New Roman"/>
                <w:sz w:val="20"/>
                <w:szCs w:val="20"/>
              </w:rPr>
              <w:t>236,000</w:t>
            </w:r>
          </w:p>
        </w:tc>
      </w:tr>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B95558">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B95558">
            <w:pPr>
              <w:jc w:val="right"/>
              <w:rPr>
                <w:rFonts w:eastAsia="Times New Roman"/>
              </w:rPr>
            </w:pPr>
            <w:r>
              <w:rPr>
                <w:rFonts w:eastAsia="Times New Roman"/>
                <w:sz w:val="20"/>
                <w:szCs w:val="20"/>
              </w:rPr>
              <w:t>548,000</w:t>
            </w:r>
          </w:p>
        </w:tc>
      </w:tr>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jc w:val="right"/>
              <w:rPr>
                <w:rFonts w:eastAsia="Times New Roman"/>
              </w:rPr>
            </w:pPr>
            <w:r>
              <w:rPr>
                <w:rFonts w:eastAsia="Times New Roman"/>
                <w:sz w:val="20"/>
                <w:szCs w:val="20"/>
              </w:rPr>
              <w:t>351,000</w:t>
            </w:r>
          </w:p>
        </w:tc>
      </w:tr>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B95558">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B95558">
            <w:pPr>
              <w:jc w:val="right"/>
              <w:rPr>
                <w:rFonts w:eastAsia="Times New Roman"/>
              </w:rPr>
            </w:pPr>
            <w:r>
              <w:rPr>
                <w:rFonts w:eastAsia="Times New Roman"/>
                <w:sz w:val="20"/>
                <w:szCs w:val="20"/>
                <w:u w:val="single"/>
              </w:rPr>
              <w:t>29,000</w:t>
            </w:r>
          </w:p>
        </w:tc>
      </w:tr>
      <w:tr w:rsidR="00000000">
        <w:trPr>
          <w:divId w:val="16709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00000" w:rsidRDefault="00B95558">
            <w:pPr>
              <w:jc w:val="right"/>
              <w:rPr>
                <w:rFonts w:eastAsia="Times New Roman"/>
              </w:rPr>
            </w:pPr>
            <w:r>
              <w:rPr>
                <w:rFonts w:eastAsia="Times New Roman"/>
                <w:sz w:val="20"/>
                <w:szCs w:val="20"/>
              </w:rPr>
              <w:t>$ 1,164,000</w:t>
            </w:r>
          </w:p>
        </w:tc>
      </w:tr>
    </w:tbl>
    <w:p w:rsidR="00000000" w:rsidRDefault="00B95558">
      <w:pPr>
        <w:spacing w:before="100" w:beforeAutospacing="1" w:after="100" w:afterAutospacing="1"/>
        <w:divId w:val="1670930"/>
      </w:pPr>
      <w:r>
        <w:rPr>
          <w:sz w:val="20"/>
          <w:szCs w:val="20"/>
        </w:rPr>
        <w:t>The overall effective tax rate differs from the federal statutory tax rate of 34% due to operating losses and other deferred assets not providing benefit for income tax purposes.</w:t>
      </w:r>
    </w:p>
    <w:p w:rsidR="00000000" w:rsidRDefault="00B95558">
      <w:pPr>
        <w:pStyle w:val="NormalWeb"/>
      </w:pPr>
      <w:r>
        <w:rPr>
          <w:b/>
          <w:bCs/>
          <w:sz w:val="20"/>
          <w:szCs w:val="20"/>
        </w:rPr>
        <w:t>NOTE 9 - SHAREHOLDERS' EQUITY:</w:t>
      </w:r>
    </w:p>
    <w:p w:rsidR="00000000" w:rsidRDefault="00B95558">
      <w:pPr>
        <w:pStyle w:val="NormalWeb"/>
      </w:pPr>
      <w:r>
        <w:rPr>
          <w:sz w:val="20"/>
          <w:szCs w:val="20"/>
        </w:rPr>
        <w:t>Preferred Stock:</w:t>
      </w:r>
    </w:p>
    <w:p w:rsidR="00000000" w:rsidRDefault="00B95558">
      <w:pPr>
        <w:pStyle w:val="NormalWeb"/>
      </w:pPr>
      <w:r>
        <w:rPr>
          <w:sz w:val="20"/>
          <w:szCs w:val="20"/>
        </w:rPr>
        <w:t>The Company is authorized t</w:t>
      </w:r>
      <w:r>
        <w:rPr>
          <w:sz w:val="20"/>
          <w:szCs w:val="20"/>
        </w:rPr>
        <w:t>o issue 10,000,000 shares of $0.01 par value preferred stock. The Company may issue any class of preferred shares in series. The board of directors has the authority to establish and designate series and to fix the number of shares included in each such se</w:t>
      </w:r>
      <w:r>
        <w:rPr>
          <w:sz w:val="20"/>
          <w:szCs w:val="20"/>
        </w:rPr>
        <w:t>ries.</w:t>
      </w:r>
    </w:p>
    <w:p w:rsidR="00000000" w:rsidRDefault="00B95558">
      <w:pPr>
        <w:pStyle w:val="NormalWeb"/>
      </w:pPr>
      <w:r>
        <w:rPr>
          <w:sz w:val="20"/>
          <w:szCs w:val="20"/>
        </w:rPr>
        <w:t>Series 2 Convertible Preferred Stock:</w:t>
      </w:r>
    </w:p>
    <w:p w:rsidR="00000000" w:rsidRDefault="00B95558">
      <w:pPr>
        <w:pStyle w:val="NormalWeb"/>
      </w:pPr>
      <w:r>
        <w:rPr>
          <w:sz w:val="20"/>
          <w:szCs w:val="20"/>
        </w:rPr>
        <w:t>Each Series 2 preferred share is convertible into two shares of common stock at the option of the holder. Each Series 2 preferred share also includes one warrant to purchase two common shares for $5.00. The war</w:t>
      </w:r>
      <w:r>
        <w:rPr>
          <w:sz w:val="20"/>
          <w:szCs w:val="20"/>
        </w:rPr>
        <w:t>rants are exercisable over a three-year period. In the event of the liquidation of the Company, holders of Series 2 preferred stock would be entitled to receive $5.00 per share, plus any unpaid dividends declared on the Series 2 preferred stock from the fu</w:t>
      </w:r>
      <w:r>
        <w:rPr>
          <w:sz w:val="20"/>
          <w:szCs w:val="20"/>
        </w:rPr>
        <w:t>nds remaining after the Company's creditors, including directors, have been paid. There have been no dividends declared.</w:t>
      </w:r>
    </w:p>
    <w:p w:rsidR="009D695C" w:rsidRDefault="00B95558" w:rsidP="009D695C">
      <w:pPr>
        <w:rPr>
          <w:sz w:val="20"/>
          <w:szCs w:val="20"/>
        </w:rPr>
      </w:pPr>
      <w:r>
        <w:rPr>
          <w:sz w:val="20"/>
          <w:szCs w:val="20"/>
        </w:rPr>
        <w:t>During November 1997, 172,000 shares of Series 2 preferred stock were converted into 344,000 shares of the Company's common stock.</w:t>
      </w:r>
    </w:p>
    <w:p w:rsidR="009D695C" w:rsidRDefault="009D695C" w:rsidP="009D695C">
      <w:pPr>
        <w:rPr>
          <w:rFonts w:eastAsia="Times New Roman"/>
          <w:sz w:val="20"/>
          <w:szCs w:val="20"/>
        </w:rPr>
      </w:pPr>
      <w:r w:rsidRPr="009D695C">
        <w:rPr>
          <w:rFonts w:eastAsia="Times New Roman"/>
          <w:b/>
          <w:bCs/>
          <w:sz w:val="20"/>
          <w:szCs w:val="20"/>
        </w:rPr>
        <w:t xml:space="preserve"> </w:t>
      </w: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3" style="width:0;height:3pt" o:hralign="center" o:hrstd="t" o:hrnoshade="t" o:hr="t" fillcolor="black" stroked="f"/>
        </w:pict>
      </w:r>
    </w:p>
    <w:p w:rsidR="00000000" w:rsidRDefault="00B95558">
      <w:pPr>
        <w:pStyle w:val="NormalWeb"/>
      </w:pPr>
      <w:r>
        <w:rPr>
          <w:sz w:val="20"/>
          <w:szCs w:val="20"/>
        </w:rPr>
        <w:lastRenderedPageBreak/>
        <w:t>Se</w:t>
      </w:r>
      <w:r>
        <w:rPr>
          <w:sz w:val="20"/>
          <w:szCs w:val="20"/>
        </w:rPr>
        <w:t>ries 4 Convertible Preferred Stock:</w:t>
      </w:r>
    </w:p>
    <w:p w:rsidR="00000000" w:rsidRDefault="00B95558">
      <w:pPr>
        <w:pStyle w:val="NormalWeb"/>
      </w:pPr>
      <w:r>
        <w:rPr>
          <w:sz w:val="20"/>
          <w:szCs w:val="20"/>
        </w:rPr>
        <w:t xml:space="preserve">The shares are collectively convertible to common stock of the Company on March 5, 2004, in an amount equal to the greater of a.)290,000 shares divided by the ten day closing price, prior to the date of acquisition of IPS, of the Company's common stock as </w:t>
      </w:r>
      <w:r>
        <w:rPr>
          <w:sz w:val="20"/>
          <w:szCs w:val="20"/>
        </w:rPr>
        <w:t xml:space="preserve">quoted on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B95558">
      <w:pPr>
        <w:pStyle w:val="NormalWeb"/>
      </w:pPr>
      <w:proofErr w:type="gramStart"/>
      <w:r>
        <w:rPr>
          <w:b/>
          <w:bCs/>
          <w:sz w:val="20"/>
          <w:szCs w:val="20"/>
        </w:rPr>
        <w:t>ITEM 2: MANAGEMENT'S DISCUSSION AND ANALYSIS OF FINANCIAL CONDITION AND RESULTS OF OPERATIONS.</w:t>
      </w:r>
      <w:proofErr w:type="gramEnd"/>
    </w:p>
    <w:p w:rsidR="00000000" w:rsidRDefault="00B95558">
      <w:pPr>
        <w:pStyle w:val="NormalWeb"/>
      </w:pPr>
      <w:r>
        <w:rPr>
          <w:sz w:val="20"/>
          <w:szCs w:val="20"/>
        </w:rPr>
        <w:t>The following should be read in conjunction with our Consoli</w:t>
      </w:r>
      <w:r>
        <w:rPr>
          <w:sz w:val="20"/>
          <w:szCs w:val="20"/>
        </w:rPr>
        <w:t>dated Financial Statements and the notes thereto included in the Financial Statements."</w:t>
      </w:r>
    </w:p>
    <w:p w:rsidR="00000000" w:rsidRDefault="00B95558">
      <w:pPr>
        <w:pStyle w:val="NormalWeb"/>
      </w:pPr>
      <w:r>
        <w:rPr>
          <w:sz w:val="20"/>
          <w:szCs w:val="20"/>
        </w:rPr>
        <w:t xml:space="preserve">FORWARD LOOKING STATEMENTS: </w:t>
      </w:r>
    </w:p>
    <w:p w:rsidR="00000000" w:rsidRDefault="00B95558">
      <w:pPr>
        <w:pStyle w:val="NormalWeb"/>
      </w:pPr>
      <w:r>
        <w:rPr>
          <w:sz w:val="20"/>
          <w:szCs w:val="20"/>
        </w:rPr>
        <w:t>Certain statements contained in this report, including statements concerning the Company's future and financing requirements, the Company'</w:t>
      </w:r>
      <w:r>
        <w:rPr>
          <w:sz w:val="20"/>
          <w:szCs w:val="20"/>
        </w:rPr>
        <w:t>s ability to obtain market acceptance of its products and the competitive market for sales of small production business' and other statements contained herein regarding matters that are not historical facts, are forward looking statements; actual results m</w:t>
      </w:r>
      <w:r>
        <w:rPr>
          <w:sz w:val="20"/>
          <w:szCs w:val="20"/>
        </w:rPr>
        <w:t>ay differ materially from those set forth in the forward looking statements, which statements involve risks and uncertainties, including without limitation to those risks and uncertainties set forth in any of the Company's Registration Statements under the</w:t>
      </w:r>
      <w:r>
        <w:rPr>
          <w:sz w:val="20"/>
          <w:szCs w:val="20"/>
        </w:rPr>
        <w:t xml:space="preserve"> heading "Risk Factors" or any other such heading. In addition, historical performance of the Company should not be considered as an indicator for future performance, and as such, the future performance of the Company may differ significantly from historic</w:t>
      </w:r>
      <w:r>
        <w:rPr>
          <w:sz w:val="20"/>
          <w:szCs w:val="20"/>
        </w:rPr>
        <w:t xml:space="preserve">al performance. </w:t>
      </w:r>
    </w:p>
    <w:p w:rsidR="009D695C" w:rsidRDefault="00B95558" w:rsidP="009D695C">
      <w:pPr>
        <w:pStyle w:val="NormalWeb"/>
        <w:rPr>
          <w:sz w:val="20"/>
          <w:szCs w:val="20"/>
        </w:rPr>
      </w:pPr>
      <w:r>
        <w:rPr>
          <w:sz w:val="20"/>
          <w:szCs w:val="20"/>
        </w:rPr>
        <w:t>CRITICAL ACCOUNTING POLICIES AND ESTIMATES</w:t>
      </w:r>
    </w:p>
    <w:p w:rsidR="00000000" w:rsidRPr="009D695C" w:rsidRDefault="00B95558" w:rsidP="009D695C">
      <w:pPr>
        <w:pStyle w:val="NormalWeb"/>
      </w:pPr>
      <w:r>
        <w:rPr>
          <w:rFonts w:eastAsia="Times New Roman"/>
          <w:sz w:val="20"/>
          <w:szCs w:val="20"/>
        </w:rPr>
        <w:t>The preparation of consolidated financial statements in conformity with accounting principles generally accepted in the U.S. (“GAAP”) requires our management to make estimates and assumptions that affect the reported amounts of assets and liabilities and t</w:t>
      </w:r>
      <w:r>
        <w:rPr>
          <w:rFonts w:eastAsia="Times New Roman"/>
          <w:sz w:val="20"/>
          <w:szCs w:val="20"/>
        </w:rPr>
        <w:t>he disclosure of contingent assets and liabilities at the date of the consolidated financial statements and the reported amounts of revenue and expenses during the reporting period. Following are accounting policies that we believe are most important to th</w:t>
      </w:r>
      <w:r>
        <w:rPr>
          <w:rFonts w:eastAsia="Times New Roman"/>
          <w:sz w:val="20"/>
          <w:szCs w:val="20"/>
        </w:rPr>
        <w:t>e portrayal of our financial condition and results of operations and that require our most difficult judgments as a result of the need to make estimates and assumptions about the effects of matters that are inherently uncertain.</w:t>
      </w:r>
    </w:p>
    <w:p w:rsidR="00000000" w:rsidRDefault="00B95558">
      <w:pPr>
        <w:pStyle w:val="NormalWeb"/>
      </w:pPr>
      <w:proofErr w:type="gramStart"/>
      <w:r>
        <w:rPr>
          <w:i/>
          <w:iCs/>
          <w:sz w:val="20"/>
          <w:szCs w:val="20"/>
        </w:rPr>
        <w:t>Recognition of rental inco</w:t>
      </w:r>
      <w:r>
        <w:rPr>
          <w:i/>
          <w:iCs/>
          <w:sz w:val="20"/>
          <w:szCs w:val="20"/>
        </w:rPr>
        <w:t>me.</w:t>
      </w:r>
      <w:proofErr w:type="gramEnd"/>
      <w:r>
        <w:rPr>
          <w:i/>
          <w:iCs/>
          <w:sz w:val="20"/>
          <w:szCs w:val="20"/>
        </w:rPr>
        <w:t xml:space="preserve"> </w:t>
      </w:r>
      <w:r>
        <w:rPr>
          <w:sz w:val="20"/>
          <w:szCs w:val="20"/>
        </w:rPr>
        <w:t>Rental income for commercial property leases is recognized on a straight-line basis over the respective lease terms.</w:t>
      </w:r>
    </w:p>
    <w:p w:rsidR="00000000" w:rsidRDefault="00B95558">
      <w:pPr>
        <w:pStyle w:val="NormalWeb"/>
      </w:pPr>
      <w:r>
        <w:rPr>
          <w:sz w:val="20"/>
          <w:szCs w:val="20"/>
        </w:rPr>
        <w:t>Real Estate Accounting Principles: The Company treats the valuation of its real estate in accordance with FASB Statement No. 157, Fair</w:t>
      </w:r>
      <w:r>
        <w:rPr>
          <w:sz w:val="20"/>
          <w:szCs w:val="20"/>
        </w:rPr>
        <w:t xml:space="preserve"> Value Measurements, which provides for the companies accounting valuation of real estate. Statement 157 defines fair value as the price that would be received to sell an asset or paid to transfer a liability in an orderly transaction between market partic</w:t>
      </w:r>
      <w:r>
        <w:rPr>
          <w:sz w:val="20"/>
          <w:szCs w:val="20"/>
        </w:rPr>
        <w:t>ipants at the measurement date. The Company has valued its real estate using the three valuation approaches defined in FASB Statement No. 157: The market approach, which uses observable prices and other relevant information derived from market transactions</w:t>
      </w:r>
      <w:r>
        <w:rPr>
          <w:sz w:val="20"/>
          <w:szCs w:val="20"/>
        </w:rPr>
        <w:t xml:space="preserve"> involving identical or comparable assets or liabilities, The income approach, which uses valuation technique to convert future benefits or costs, usually in the form of cash flows, into a present-value amount. Examples of an income approach include the di</w:t>
      </w:r>
      <w:r>
        <w:rPr>
          <w:sz w:val="20"/>
          <w:szCs w:val="20"/>
        </w:rPr>
        <w:t>scounted cash flow method and the direct capitalization method, and the cost approach, which uses estimates of the cost to replace an asset’s service capacity.</w:t>
      </w:r>
    </w:p>
    <w:p w:rsidR="00000000" w:rsidRDefault="00B95558">
      <w:pPr>
        <w:pStyle w:val="NormalWeb"/>
      </w:pPr>
      <w:proofErr w:type="gramStart"/>
      <w:r>
        <w:rPr>
          <w:i/>
          <w:iCs/>
          <w:sz w:val="20"/>
          <w:szCs w:val="20"/>
        </w:rPr>
        <w:t>Revenue recognition on the sale of real estate.</w:t>
      </w:r>
      <w:proofErr w:type="gramEnd"/>
      <w:r>
        <w:rPr>
          <w:i/>
          <w:iCs/>
          <w:sz w:val="20"/>
          <w:szCs w:val="20"/>
        </w:rPr>
        <w:t xml:space="preserve"> </w:t>
      </w:r>
    </w:p>
    <w:p w:rsidR="00000000" w:rsidRDefault="00B95558">
      <w:pPr>
        <w:pStyle w:val="NormalWeb"/>
      </w:pPr>
      <w:r>
        <w:rPr>
          <w:sz w:val="20"/>
          <w:szCs w:val="20"/>
        </w:rPr>
        <w:t>Sales of real estate are recognized when and t</w:t>
      </w:r>
      <w:r>
        <w:rPr>
          <w:sz w:val="20"/>
          <w:szCs w:val="20"/>
        </w:rPr>
        <w:t>o the extent permitted by Statement of Financial Accounting Standards No. 66, “Accounting for Sales of Real Estate” (“SFAS No. 66”), as amended by SFAS No. 144. Until the requirements of SFAS No. 66 for full profit recognition have been met, transactions a</w:t>
      </w:r>
      <w:r>
        <w:rPr>
          <w:sz w:val="20"/>
          <w:szCs w:val="20"/>
        </w:rPr>
        <w:t xml:space="preserve">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B95558">
      <w:pPr>
        <w:pStyle w:val="NormalWeb"/>
      </w:pPr>
      <w:r>
        <w:rPr>
          <w:sz w:val="20"/>
          <w:szCs w:val="20"/>
        </w:rPr>
        <w:t>Interest Recognition on Notes Receivable</w:t>
      </w:r>
      <w:r w:rsidR="009D695C">
        <w:rPr>
          <w:sz w:val="20"/>
          <w:szCs w:val="20"/>
        </w:rPr>
        <w:t xml:space="preserve">:  </w:t>
      </w:r>
      <w:r>
        <w:rPr>
          <w:sz w:val="20"/>
          <w:szCs w:val="20"/>
        </w:rPr>
        <w:t>Interest income is not recognized on notes receivable that have been delinquent for</w:t>
      </w:r>
      <w:r>
        <w:rPr>
          <w:sz w:val="20"/>
          <w:szCs w:val="20"/>
        </w:rPr>
        <w:t xml:space="preserve"> 60 days or more. In addition, accrued but unpaid interest income is only recognized to the extent that the net realizable value of the underlying collateral exceeds the carrying value of the receivable.</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5" style="width:0;height:3pt" o:hralign="center" o:hrstd="t" o:hrnoshade="t" o:hr="t" fillcolor="black" stroked="f"/>
        </w:pict>
      </w:r>
    </w:p>
    <w:p w:rsidR="00000000" w:rsidRDefault="00B95558">
      <w:pPr>
        <w:pStyle w:val="NormalWeb"/>
      </w:pPr>
      <w:r>
        <w:rPr>
          <w:i/>
          <w:iCs/>
          <w:sz w:val="20"/>
          <w:szCs w:val="20"/>
        </w:rPr>
        <w:t>Foreign currency translation:</w:t>
      </w:r>
    </w:p>
    <w:p w:rsidR="00000000" w:rsidRDefault="00B95558">
      <w:pPr>
        <w:pStyle w:val="NormalWeb"/>
      </w:pPr>
      <w:r>
        <w:rPr>
          <w:sz w:val="20"/>
          <w:szCs w:val="20"/>
        </w:rPr>
        <w:lastRenderedPageBreak/>
        <w:t>Foreign currency tra</w:t>
      </w:r>
      <w:r>
        <w:rPr>
          <w:sz w:val="20"/>
          <w:szCs w:val="20"/>
        </w:rPr>
        <w:t xml:space="preserve">nsactions are translated applying the current rate method. Assets and liabilities are translated at current rates. Stockholders' equity accounts are translated at the appropriate historical rates and revenue and expenses are translated at weighted average </w:t>
      </w:r>
      <w:r>
        <w:rPr>
          <w:sz w:val="20"/>
          <w:szCs w:val="20"/>
        </w:rPr>
        <w:t>rates for the year. Exchange rate differences that arise between the rate at the transaction date and the one in effect at the payment date, or at the balance sheet date, are recognized in the income statement.</w:t>
      </w:r>
    </w:p>
    <w:p w:rsidR="00000000" w:rsidRDefault="00B95558">
      <w:pPr>
        <w:pStyle w:val="NormalWeb"/>
      </w:pPr>
      <w:r>
        <w:rPr>
          <w:i/>
          <w:iCs/>
          <w:sz w:val="20"/>
          <w:szCs w:val="20"/>
        </w:rPr>
        <w:t>Income Taxes:</w:t>
      </w:r>
    </w:p>
    <w:p w:rsidR="00000000" w:rsidRDefault="00B95558">
      <w:pPr>
        <w:pStyle w:val="NormalWeb"/>
      </w:pPr>
      <w:r>
        <w:rPr>
          <w:sz w:val="20"/>
          <w:szCs w:val="20"/>
        </w:rPr>
        <w:t>The Company accounts for inco</w:t>
      </w:r>
      <w:r>
        <w:rPr>
          <w:sz w:val="20"/>
          <w:szCs w:val="20"/>
        </w:rPr>
        <w:t>me taxes under the asset and liability method of accounting. Under this method, deferred tax assets and liabilities are recognized for the future tax consequences attributable to differences between the financial statement carrying amounts of existing asse</w:t>
      </w:r>
      <w:r>
        <w:rPr>
          <w:sz w:val="20"/>
          <w:szCs w:val="20"/>
        </w:rPr>
        <w:t>ts and liabilities and their respective tax bases. Deferred tax assets and liabilities are measured using enacted tax rates expected to apply to taxable income in the years in which those temporary differences are expected to be recovered or settled. The e</w:t>
      </w:r>
      <w:r>
        <w:rPr>
          <w:sz w:val="20"/>
          <w:szCs w:val="20"/>
        </w:rPr>
        <w:t xml:space="preserve">ffect on deferred tax assets and liabilities of a change in tax rates is recognized in income in the period that includes the enactment date. A valuation allowance is </w:t>
      </w:r>
    </w:p>
    <w:p w:rsidR="00000000" w:rsidRDefault="00B95558">
      <w:pPr>
        <w:pStyle w:val="NormalWeb"/>
      </w:pPr>
      <w:proofErr w:type="gramStart"/>
      <w:r>
        <w:rPr>
          <w:sz w:val="20"/>
          <w:szCs w:val="20"/>
        </w:rPr>
        <w:t>required</w:t>
      </w:r>
      <w:proofErr w:type="gramEnd"/>
      <w:r>
        <w:rPr>
          <w:sz w:val="20"/>
          <w:szCs w:val="20"/>
        </w:rPr>
        <w:t xml:space="preserve"> when it is less likely than not that the Company will be able to realize all or</w:t>
      </w:r>
      <w:r>
        <w:rPr>
          <w:sz w:val="20"/>
          <w:szCs w:val="20"/>
        </w:rPr>
        <w:t xml:space="preserve"> a portion of its deferred tax assets. Because it is doubtful that the net operating losses of recent years will ever be used, a valuation allowance has been recognized equal to the tax benefit of net operating losses generated.</w:t>
      </w:r>
    </w:p>
    <w:p w:rsidR="00000000" w:rsidRDefault="00B95558">
      <w:pPr>
        <w:pStyle w:val="NormalWeb"/>
      </w:pPr>
      <w:r>
        <w:rPr>
          <w:i/>
          <w:iCs/>
          <w:sz w:val="20"/>
          <w:szCs w:val="20"/>
        </w:rPr>
        <w:t>Net Earnings per Share:</w:t>
      </w:r>
    </w:p>
    <w:p w:rsidR="00000000" w:rsidRDefault="00B95558">
      <w:pPr>
        <w:pStyle w:val="NormalWeb"/>
      </w:pPr>
      <w:r>
        <w:rPr>
          <w:sz w:val="20"/>
          <w:szCs w:val="20"/>
        </w:rPr>
        <w:t>T</w:t>
      </w:r>
      <w:r>
        <w:rPr>
          <w:sz w:val="20"/>
          <w:szCs w:val="20"/>
        </w:rPr>
        <w:t xml:space="preserve">he Company adopted SFAS No. 128, "Earnings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computed similar to bas</w:t>
      </w:r>
      <w:r>
        <w:rPr>
          <w:sz w:val="20"/>
          <w:szCs w:val="20"/>
        </w:rPr>
        <w:t>ic earnings per share except that the denominator is increased to include the number of additional common shares that would have been outstanding if the potential common shares had been issued and if the additional common shares were dilutive.</w:t>
      </w:r>
    </w:p>
    <w:p w:rsidR="00000000" w:rsidRDefault="00B95558">
      <w:pPr>
        <w:pStyle w:val="NormalWeb"/>
      </w:pPr>
      <w:r>
        <w:rPr>
          <w:i/>
          <w:iCs/>
          <w:sz w:val="20"/>
          <w:szCs w:val="20"/>
        </w:rPr>
        <w:t>Cash and Ca</w:t>
      </w:r>
      <w:r>
        <w:rPr>
          <w:i/>
          <w:iCs/>
          <w:sz w:val="20"/>
          <w:szCs w:val="20"/>
        </w:rPr>
        <w:t>sh Equivalents:</w:t>
      </w:r>
    </w:p>
    <w:p w:rsidR="00000000" w:rsidRDefault="00B95558">
      <w:pPr>
        <w:pStyle w:val="NormalWeb"/>
      </w:pPr>
      <w:r>
        <w:rPr>
          <w:sz w:val="20"/>
          <w:szCs w:val="20"/>
        </w:rPr>
        <w:t>For purposes of the statement of cash flows, the Company considers all highly-liquid investments purchased with original maturities of three months or less to be cash equivalents.</w:t>
      </w:r>
    </w:p>
    <w:p w:rsidR="00000000" w:rsidRDefault="00B95558">
      <w:pPr>
        <w:pStyle w:val="NormalWeb"/>
      </w:pPr>
      <w:r>
        <w:rPr>
          <w:sz w:val="20"/>
          <w:szCs w:val="20"/>
        </w:rPr>
        <w:t>The Company maintains its cash in bank deposit accounts which, at December 3</w:t>
      </w:r>
      <w:r>
        <w:rPr>
          <w:sz w:val="20"/>
          <w:szCs w:val="20"/>
        </w:rPr>
        <w:t>1, 2012 did not exceed federally insured limits. The Company has not experienced any losses in such accounts and believes that it is not exposed to any significant credit risk on such amounts.</w:t>
      </w:r>
    </w:p>
    <w:p w:rsidR="00000000" w:rsidRDefault="00B95558">
      <w:pPr>
        <w:pStyle w:val="NormalWeb"/>
      </w:pPr>
      <w:r>
        <w:rPr>
          <w:i/>
          <w:iCs/>
          <w:sz w:val="20"/>
          <w:szCs w:val="20"/>
        </w:rPr>
        <w:t>Estimates:</w:t>
      </w:r>
    </w:p>
    <w:p w:rsidR="00000000" w:rsidRDefault="00B95558">
      <w:pPr>
        <w:pStyle w:val="NormalWeb"/>
      </w:pPr>
      <w:r>
        <w:rPr>
          <w:sz w:val="20"/>
          <w:szCs w:val="20"/>
        </w:rPr>
        <w:t>The preparation of financial statements in conform</w:t>
      </w:r>
      <w:r>
        <w:rPr>
          <w:sz w:val="20"/>
          <w:szCs w:val="20"/>
        </w:rPr>
        <w:t>ity with generally accepted accounting principles requires management to make estimates and assumptions that affect the reported amounts of assets and liabilities and disclosures of contingent assets and liabilities at the date of the financial statements,</w:t>
      </w:r>
      <w:r>
        <w:rPr>
          <w:sz w:val="20"/>
          <w:szCs w:val="20"/>
        </w:rPr>
        <w:t xml:space="preserve"> as well as the reported amounts of revenue and expenses during the reported period. Actual results could differ from those estimates.</w:t>
      </w:r>
    </w:p>
    <w:p w:rsidR="00000000" w:rsidRDefault="00B95558">
      <w:pPr>
        <w:pStyle w:val="NormalWeb"/>
      </w:pPr>
      <w:r>
        <w:rPr>
          <w:i/>
          <w:iCs/>
          <w:sz w:val="20"/>
          <w:szCs w:val="20"/>
        </w:rPr>
        <w:t>Concentrations of Credit Risk</w:t>
      </w:r>
      <w:r>
        <w:rPr>
          <w:sz w:val="20"/>
          <w:szCs w:val="20"/>
        </w:rPr>
        <w:t>:</w:t>
      </w:r>
    </w:p>
    <w:p w:rsidR="00000000" w:rsidRDefault="00B95558">
      <w:pPr>
        <w:pStyle w:val="NormalWeb"/>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B95558">
      <w:pPr>
        <w:pStyle w:val="NormalWeb"/>
      </w:pPr>
      <w:r>
        <w:rPr>
          <w:i/>
          <w:iCs/>
          <w:sz w:val="20"/>
          <w:szCs w:val="20"/>
        </w:rPr>
        <w:t>Recently Issued Accounting Standards</w:t>
      </w:r>
    </w:p>
    <w:p w:rsidR="00000000" w:rsidRDefault="00B95558">
      <w:pPr>
        <w:pStyle w:val="NormalWeb"/>
      </w:pPr>
      <w:r>
        <w:rPr>
          <w:sz w:val="20"/>
          <w:szCs w:val="20"/>
        </w:rPr>
        <w:t xml:space="preserve">In February 2006, the FASB issued </w:t>
      </w:r>
      <w:r>
        <w:rPr>
          <w:sz w:val="20"/>
          <w:szCs w:val="20"/>
        </w:rPr>
        <w:t>SFAS No. 155, “Accounting for Certain Hybrid Financial Instruments—an Amendment of FASB Statements No. 133 and 140” (“SFAS No. 155”). The purpose of SFAS No. 155 is to simplify the accounting for certain hybrid financial instruments by permitting fair valu</w:t>
      </w:r>
      <w:r>
        <w:rPr>
          <w:sz w:val="20"/>
          <w:szCs w:val="20"/>
        </w:rPr>
        <w:t xml:space="preserve">e re-measurement for any hybrid financial instrument that contains an embedded derivative that otherwise would require bifurcation. SFAS No. 155 was effective for all financial instruments acquired or issued after the beginning of an entity’s first fiscal </w:t>
      </w:r>
      <w:r>
        <w:rPr>
          <w:sz w:val="20"/>
          <w:szCs w:val="20"/>
        </w:rPr>
        <w:t>year that begins after September 15, 2006. The Company believes the adoption of SFAS No. 155 had no material impact on its cash flows, results of operations, financial position or liquidity.</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7" style="width:0;height:3pt" o:hralign="center" o:hrstd="t" o:hrnoshade="t" o:hr="t" fillcolor="black" stroked="f"/>
        </w:pict>
      </w:r>
    </w:p>
    <w:p w:rsidR="00000000" w:rsidRDefault="00B95558">
      <w:pPr>
        <w:pStyle w:val="NormalWeb"/>
      </w:pPr>
      <w:r>
        <w:rPr>
          <w:sz w:val="20"/>
          <w:szCs w:val="20"/>
        </w:rPr>
        <w:lastRenderedPageBreak/>
        <w:t>In March 2006, the FASB issued SFAS No. 156, “Accounting for Ser</w:t>
      </w:r>
      <w:r>
        <w:rPr>
          <w:sz w:val="20"/>
          <w:szCs w:val="20"/>
        </w:rPr>
        <w:t xml:space="preserve">vicing of Financial Assets—an Amendment of FASB Statement No. 140” (“SFAS No. 156”). SFAS No. 156 requires recognition of a servicing asset or a servicing liability each time an entity undertakes an obligation to service a financial asset by entering into </w:t>
      </w:r>
      <w:r>
        <w:rPr>
          <w:sz w:val="20"/>
          <w:szCs w:val="20"/>
        </w:rPr>
        <w:t xml:space="preserve">a servicing contract. SFAS No. 156 also requires that all separately recognized servicing assets and servicing liabilities be initially measured at fair value and subsequently measured at fair value at each reporting date. SFAS No. 156 was effective as of </w:t>
      </w:r>
      <w:r>
        <w:rPr>
          <w:sz w:val="20"/>
          <w:szCs w:val="20"/>
        </w:rPr>
        <w:t>the beginning of any entity’s first fiscal year that begins after September 15, 2006. The Company believes that the adoption of SFAS No. 156 had no material impact on its cash flows, results of operations, financial position or liquidity.</w:t>
      </w:r>
    </w:p>
    <w:p w:rsidR="00000000" w:rsidRDefault="00B95558">
      <w:pPr>
        <w:pStyle w:val="NormalWeb"/>
        <w:spacing w:after="240" w:afterAutospacing="0"/>
      </w:pPr>
      <w:r>
        <w:rPr>
          <w:sz w:val="20"/>
          <w:szCs w:val="20"/>
        </w:rPr>
        <w:t>In June 2006, FA</w:t>
      </w:r>
      <w:r>
        <w:rPr>
          <w:sz w:val="20"/>
          <w:szCs w:val="20"/>
        </w:rPr>
        <w:t>SB issued FIN No. 48, “Accounting for Uncertainty Taxes”. The interpretation applies to all tax positions related to income taxes subject to FASB Statement No. 109, “Accounting for Income Taxes”. FIN No. 48 clarifies the accounting for uncertainty in incom</w:t>
      </w:r>
      <w:r>
        <w:rPr>
          <w:sz w:val="20"/>
          <w:szCs w:val="20"/>
        </w:rPr>
        <w:t>e taxes by prescribing a minimum recognition threshold in determining if a tax position should be reflected in the financial statements. Only tax positions that meet the “more likely than not” recognition threshold may be recognized. The interpretation als</w:t>
      </w:r>
      <w:r>
        <w:rPr>
          <w:sz w:val="20"/>
          <w:szCs w:val="20"/>
        </w:rPr>
        <w:t>o provides guidance on classification, interest and penalties, accounting in interim periods, disclosure, and transition requirements for uncertain tax positions. FIN No. 48 was effective for the Company’s fiscal year ending June 30, 2007. The Company beli</w:t>
      </w:r>
      <w:r>
        <w:rPr>
          <w:sz w:val="20"/>
          <w:szCs w:val="20"/>
        </w:rPr>
        <w:t>eves that there were no material tax positions that resulted in a material impact upon implementation of FIN No. 48.</w:t>
      </w:r>
    </w:p>
    <w:p w:rsidR="00000000" w:rsidRDefault="00B95558">
      <w:pPr>
        <w:pStyle w:val="NormalWeb"/>
      </w:pPr>
      <w:r>
        <w:rPr>
          <w:sz w:val="20"/>
          <w:szCs w:val="20"/>
        </w:rPr>
        <w:t>In September 2006, the FASB issued SFAS No. 157, “Fair Value Measurements”. This standard establishes a single authoritative definition o</w:t>
      </w:r>
      <w:r>
        <w:rPr>
          <w:sz w:val="20"/>
          <w:szCs w:val="20"/>
        </w:rPr>
        <w:t xml:space="preserve">f fair </w:t>
      </w:r>
      <w:proofErr w:type="gramStart"/>
      <w:r>
        <w:rPr>
          <w:sz w:val="20"/>
          <w:szCs w:val="20"/>
        </w:rPr>
        <w:t>value,</w:t>
      </w:r>
      <w:proofErr w:type="gramEnd"/>
      <w:r>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w:t>
      </w:r>
      <w:r>
        <w:rPr>
          <w:sz w:val="20"/>
          <w:szCs w:val="20"/>
        </w:rPr>
        <w:t>ompany’s fiscal year ending June 30, 2009. The Company is currently evaluating the requirements of SFAS No. 157 and has not yet determined the impact on its financial condition and results of operations.</w:t>
      </w:r>
    </w:p>
    <w:p w:rsidR="00000000" w:rsidRDefault="00B95558">
      <w:pPr>
        <w:pStyle w:val="NormalWeb"/>
      </w:pPr>
      <w:r>
        <w:rPr>
          <w:sz w:val="20"/>
          <w:szCs w:val="20"/>
        </w:rPr>
        <w:t>In September 2006, the FASB issued SFAS No. 158, “E</w:t>
      </w:r>
      <w:r>
        <w:rPr>
          <w:sz w:val="20"/>
          <w:szCs w:val="20"/>
        </w:rPr>
        <w:t>mployers’ Accounting for Defined Benefit Pension and other Postretirement Plans - an amendment of FASB Statement No. 87, 88, 106 and 132R”. This pronouncement requires an employer to make certain recognitions, measurements, and disclosures regarding define</w:t>
      </w:r>
      <w:r>
        <w:rPr>
          <w:sz w:val="20"/>
          <w:szCs w:val="20"/>
        </w:rPr>
        <w:t>d benefit postretirement plans. The Company does not have any defined benefit postretirement plans and SFAS No. 158 will not have any impact on its financial condition and results of operations.</w:t>
      </w:r>
    </w:p>
    <w:p w:rsidR="00000000" w:rsidRDefault="00B95558">
      <w:pPr>
        <w:pStyle w:val="NormalWeb"/>
      </w:pPr>
      <w:r>
        <w:rPr>
          <w:sz w:val="20"/>
          <w:szCs w:val="20"/>
        </w:rPr>
        <w:t>In September 2006, the Securities and Exchange Commission is</w:t>
      </w:r>
      <w:r>
        <w:rPr>
          <w:sz w:val="20"/>
          <w:szCs w:val="20"/>
        </w:rPr>
        <w:t>sued Staff Accounting Bulletin No. 108 “Considering the Effects of Prior Year Misstatements in Current Year Financial Statements” (“SAB 108”). SAB 108 provides guidance on consideration of the effects of prior year misstatements in quantifying current year</w:t>
      </w:r>
      <w:r>
        <w:rPr>
          <w:sz w:val="20"/>
          <w:szCs w:val="20"/>
        </w:rPr>
        <w:t xml:space="preserve"> misstatements for the purpose</w:t>
      </w:r>
      <w:r w:rsidR="009D695C">
        <w:t xml:space="preserve"> </w:t>
      </w:r>
      <w:r>
        <w:rPr>
          <w:sz w:val="20"/>
          <w:szCs w:val="20"/>
        </w:rPr>
        <w:t>of a materiality assessment. SAB 108 was effective for fiscal years ending after November 15, 2006. The adoption of SAB 108 did not have an impact on the Company’s consolidated financial statements.</w:t>
      </w:r>
    </w:p>
    <w:p w:rsidR="00000000" w:rsidRDefault="00B95558">
      <w:pPr>
        <w:pStyle w:val="NormalWeb"/>
      </w:pPr>
      <w:r>
        <w:rPr>
          <w:sz w:val="20"/>
          <w:szCs w:val="20"/>
        </w:rPr>
        <w:t>In February 2007, the FA</w:t>
      </w:r>
      <w:r>
        <w:rPr>
          <w:sz w:val="20"/>
          <w:szCs w:val="20"/>
        </w:rPr>
        <w:t>SB issued SFAS No 159, “The Fair Value Option for Financial Assets and Financial Liabilities” (“SFAS 159”) which permits entities to choose to measure many financial instruments and certain other items at fair value that are not currently required to be me</w:t>
      </w:r>
      <w:r>
        <w:rPr>
          <w:sz w:val="20"/>
          <w:szCs w:val="20"/>
        </w:rPr>
        <w:t>asured at fair value. SFAS 159 was effective for us on July 1, 2008. The adoption of SFAS 159 did not have an impact on the Company’s consolidated financial statements.</w:t>
      </w:r>
    </w:p>
    <w:p w:rsidR="00000000" w:rsidRDefault="00B95558">
      <w:pPr>
        <w:pStyle w:val="NormalWeb"/>
      </w:pPr>
      <w:r>
        <w:rPr>
          <w:sz w:val="20"/>
          <w:szCs w:val="20"/>
        </w:rPr>
        <w:t xml:space="preserve">RESULTS OF OPERATIONS FOR THE THREE MONTH PERIOD ENDING DECEMBER 31, 2012 COMPARED TO </w:t>
      </w:r>
      <w:r>
        <w:rPr>
          <w:sz w:val="20"/>
          <w:szCs w:val="20"/>
        </w:rPr>
        <w:t>2011</w:t>
      </w:r>
    </w:p>
    <w:p w:rsidR="00000000" w:rsidRDefault="00B95558">
      <w:pPr>
        <w:pStyle w:val="NormalWeb"/>
      </w:pPr>
      <w:r>
        <w:rPr>
          <w:i/>
          <w:iCs/>
          <w:sz w:val="20"/>
          <w:szCs w:val="20"/>
        </w:rPr>
        <w:t>Revenues:</w:t>
      </w:r>
      <w:r>
        <w:rPr>
          <w:sz w:val="20"/>
          <w:szCs w:val="20"/>
        </w:rPr>
        <w:t xml:space="preserve"> Revenues from operations for the three month period ending December 31, 2012 and December 31, 2011 were $10,276 and $10,284 </w:t>
      </w:r>
      <w:proofErr w:type="gramStart"/>
      <w:r>
        <w:rPr>
          <w:sz w:val="20"/>
          <w:szCs w:val="20"/>
        </w:rPr>
        <w:t>respectively .</w:t>
      </w:r>
      <w:proofErr w:type="gramEnd"/>
      <w:r>
        <w:rPr>
          <w:sz w:val="20"/>
          <w:szCs w:val="20"/>
        </w:rPr>
        <w:t xml:space="preserve"> They were attributable to rental payments for the commercial real estate held by Anton Nielsen </w:t>
      </w:r>
      <w:proofErr w:type="spellStart"/>
      <w:r>
        <w:rPr>
          <w:sz w:val="20"/>
          <w:szCs w:val="20"/>
        </w:rPr>
        <w:t>Vojens</w:t>
      </w:r>
      <w:proofErr w:type="spellEnd"/>
      <w:r>
        <w:rPr>
          <w:sz w:val="20"/>
          <w:szCs w:val="20"/>
        </w:rPr>
        <w:t xml:space="preserve"> and the fluctuation was due to currency value changes.</w:t>
      </w:r>
    </w:p>
    <w:p w:rsidR="00000000" w:rsidRDefault="00B95558">
      <w:pPr>
        <w:pStyle w:val="NormalWeb"/>
      </w:pPr>
      <w:r>
        <w:rPr>
          <w:i/>
          <w:iCs/>
          <w:sz w:val="20"/>
          <w:szCs w:val="20"/>
        </w:rPr>
        <w:t xml:space="preserve">Selling, general and administrative expenses: </w:t>
      </w:r>
      <w:r>
        <w:rPr>
          <w:sz w:val="20"/>
          <w:szCs w:val="20"/>
        </w:rPr>
        <w:t>SG&amp;A expenses for the three month period ending December 31, 2012 and December 31, 2011 were $4,514 and $3,045 respectively. The expenses are attributabl</w:t>
      </w:r>
      <w:r>
        <w:rPr>
          <w:sz w:val="20"/>
          <w:szCs w:val="20"/>
        </w:rPr>
        <w:t>e to ANV's operations.</w:t>
      </w:r>
    </w:p>
    <w:p w:rsidR="00000000" w:rsidRDefault="00B95558">
      <w:pPr>
        <w:pStyle w:val="NormalWeb"/>
      </w:pPr>
      <w:r>
        <w:rPr>
          <w:i/>
          <w:iCs/>
          <w:sz w:val="20"/>
          <w:szCs w:val="20"/>
        </w:rPr>
        <w:t xml:space="preserve">Interest expense: </w:t>
      </w:r>
      <w:r>
        <w:rPr>
          <w:sz w:val="20"/>
          <w:szCs w:val="20"/>
        </w:rPr>
        <w:t xml:space="preserve">Interest expense for the three month period ending December 31, 2012 and December 31, 2011 was $1,157 and $1,265 respectively. Interest expenses </w:t>
      </w:r>
      <w:proofErr w:type="spellStart"/>
      <w:r>
        <w:rPr>
          <w:sz w:val="20"/>
          <w:szCs w:val="20"/>
        </w:rPr>
        <w:t>flucuations</w:t>
      </w:r>
      <w:proofErr w:type="spellEnd"/>
      <w:r>
        <w:rPr>
          <w:sz w:val="20"/>
          <w:szCs w:val="20"/>
        </w:rPr>
        <w:t xml:space="preserve"> are primarily due to the foreign currency adjustments of </w:t>
      </w:r>
      <w:r>
        <w:rPr>
          <w:sz w:val="20"/>
          <w:szCs w:val="20"/>
        </w:rPr>
        <w:t>the US Dollar.</w:t>
      </w:r>
    </w:p>
    <w:p w:rsidR="00000000" w:rsidRDefault="00B95558">
      <w:pPr>
        <w:pStyle w:val="NormalWeb"/>
      </w:pPr>
      <w:r>
        <w:rPr>
          <w:i/>
          <w:iCs/>
          <w:sz w:val="20"/>
          <w:szCs w:val="20"/>
        </w:rPr>
        <w:t>Other income (expense), net:</w:t>
      </w:r>
      <w:r>
        <w:rPr>
          <w:sz w:val="20"/>
          <w:szCs w:val="20"/>
        </w:rPr>
        <w:t xml:space="preserve"> Other income (expense) net for the three month period ending December 31, 2012 and December 31, 2011 was $0 and $10 respectively. Other income is completely associated with interest income.</w:t>
      </w:r>
    </w:p>
    <w:p w:rsidR="00000000" w:rsidRDefault="00B95558">
      <w:pPr>
        <w:pStyle w:val="NormalWeb"/>
      </w:pPr>
      <w:r>
        <w:rPr>
          <w:i/>
          <w:iCs/>
          <w:sz w:val="20"/>
          <w:szCs w:val="20"/>
        </w:rPr>
        <w:t>Net income (loss) at</w:t>
      </w:r>
      <w:r>
        <w:rPr>
          <w:i/>
          <w:iCs/>
          <w:sz w:val="20"/>
          <w:szCs w:val="20"/>
        </w:rPr>
        <w:t xml:space="preserve">tributed to common stockholders: </w:t>
      </w:r>
      <w:r>
        <w:rPr>
          <w:sz w:val="20"/>
          <w:szCs w:val="20"/>
        </w:rPr>
        <w:t>Net loss and income for the three month period ending December 31, 2012 and December 31, 2011 attributed to common stockholders was $(7,671) and $(1,563), or $0.000 per share respectively.</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69" style="width:0;height:3pt" o:hralign="center" o:hrstd="t" o:hrnoshade="t" o:hr="t" fillcolor="black" stroked="f"/>
        </w:pict>
      </w:r>
    </w:p>
    <w:p w:rsidR="00000000" w:rsidRDefault="00B95558">
      <w:pPr>
        <w:pStyle w:val="NormalWeb"/>
      </w:pPr>
      <w:r>
        <w:rPr>
          <w:i/>
          <w:iCs/>
          <w:sz w:val="20"/>
          <w:szCs w:val="20"/>
        </w:rPr>
        <w:lastRenderedPageBreak/>
        <w:t xml:space="preserve">Liquidity and capital resources: </w:t>
      </w:r>
      <w:r>
        <w:rPr>
          <w:sz w:val="20"/>
          <w:szCs w:val="20"/>
        </w:rPr>
        <w:t>As of December 31, 2012 the Company had $2,277 in cash and cash equivalents and a working capital of $252,193 as compared to December 31, 2011 the Company had $4,820 in cash and cash equivalents and a working capital of $261,415. The change in cash is prim</w:t>
      </w:r>
      <w:r>
        <w:rPr>
          <w:sz w:val="20"/>
          <w:szCs w:val="20"/>
        </w:rPr>
        <w:t>arily due to the payments made on the debt of the acquisition of ANV and normal operations. The decrease in the working capital is primarily related operations of ANV real estate.</w:t>
      </w:r>
    </w:p>
    <w:p w:rsidR="00000000" w:rsidRDefault="00B95558">
      <w:pPr>
        <w:pStyle w:val="NormalWeb"/>
      </w:pPr>
      <w:r>
        <w:rPr>
          <w:sz w:val="20"/>
          <w:szCs w:val="20"/>
        </w:rPr>
        <w:t>Net cash provided (used) by operating activities for three month period end</w:t>
      </w:r>
      <w:r>
        <w:rPr>
          <w:sz w:val="20"/>
          <w:szCs w:val="20"/>
        </w:rPr>
        <w:t>ing December 31, 2012 was $2,558 compared to December 31, 2011 was $(28,162). The net cash used by operating activities was primarily due to the operations of ANV.</w:t>
      </w:r>
    </w:p>
    <w:p w:rsidR="00000000" w:rsidRDefault="00B95558">
      <w:pPr>
        <w:pStyle w:val="NormalWeb"/>
      </w:pPr>
      <w:r>
        <w:rPr>
          <w:sz w:val="20"/>
          <w:szCs w:val="20"/>
        </w:rPr>
        <w:t>OFF BALANCE SHEET ARRANGEMENTS</w:t>
      </w:r>
    </w:p>
    <w:p w:rsidR="00000000" w:rsidRDefault="00B95558">
      <w:pPr>
        <w:pStyle w:val="NormalWeb"/>
      </w:pPr>
      <w:r>
        <w:rPr>
          <w:sz w:val="20"/>
          <w:szCs w:val="20"/>
        </w:rPr>
        <w:t>We do not currently have any off balance sheet arrangements</w:t>
      </w:r>
      <w:r>
        <w:rPr>
          <w:sz w:val="20"/>
          <w:szCs w:val="20"/>
        </w:rPr>
        <w:t>.</w:t>
      </w:r>
    </w:p>
    <w:p w:rsidR="00000000" w:rsidRDefault="00B95558">
      <w:pPr>
        <w:pStyle w:val="NormalWeb"/>
      </w:pPr>
      <w:r>
        <w:rPr>
          <w:sz w:val="20"/>
          <w:szCs w:val="20"/>
        </w:rPr>
        <w:t>ACQUISITION EFFORTS:</w:t>
      </w:r>
    </w:p>
    <w:p w:rsidR="00000000" w:rsidRDefault="00B95558">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w:t>
      </w:r>
      <w:r>
        <w:rPr>
          <w:sz w:val="20"/>
          <w:szCs w:val="20"/>
        </w:rPr>
        <w:t>iod, the Company has been in discussion with Companies looking to be acquired. AOXY has not negotiated any terms nor proposed any acquisitions of any of these companies that have been accepted. In addition, the Company is in discussion with potential lendi</w:t>
      </w:r>
      <w:r>
        <w:rPr>
          <w:sz w:val="20"/>
          <w:szCs w:val="20"/>
        </w:rPr>
        <w:t>ng institutions to assist in financing any proposed acquisition. The Company expects difficulty in financing the growth of the increased business or acquisition and has been concentrating on raising capital and/or obtaining a line of credit.</w:t>
      </w:r>
    </w:p>
    <w:p w:rsidR="00000000" w:rsidRDefault="00B95558">
      <w:pPr>
        <w:pStyle w:val="NormalWeb"/>
      </w:pPr>
      <w:r>
        <w:rPr>
          <w:sz w:val="20"/>
          <w:szCs w:val="20"/>
        </w:rPr>
        <w:t>HISTORICAL OPE</w:t>
      </w:r>
      <w:r>
        <w:rPr>
          <w:sz w:val="20"/>
          <w:szCs w:val="20"/>
        </w:rPr>
        <w:t>RATIONS:</w:t>
      </w:r>
    </w:p>
    <w:p w:rsidR="00000000" w:rsidRDefault="00B95558">
      <w:pPr>
        <w:pStyle w:val="NormalWeb"/>
      </w:pPr>
      <w:r>
        <w:rPr>
          <w:sz w:val="20"/>
          <w:szCs w:val="20"/>
        </w:rPr>
        <w:t>On March 9, 1998, pursuant to an Agreement for Purchase and Sale of Specified Business Assets ("Purchase Agreement"), a Promissory Note ("Note")</w:t>
      </w:r>
      <w:proofErr w:type="gramStart"/>
      <w:r>
        <w:rPr>
          <w:sz w:val="20"/>
          <w:szCs w:val="20"/>
        </w:rPr>
        <w:t>,and</w:t>
      </w:r>
      <w:proofErr w:type="gramEnd"/>
      <w:r>
        <w:rPr>
          <w:sz w:val="20"/>
          <w:szCs w:val="20"/>
        </w:rPr>
        <w:t xml:space="preserve"> a Security Agreement ("Security Agreement") all dated March 9, 1998, Advanced Oxygen Technologies, Inc. (th</w:t>
      </w:r>
      <w:r>
        <w:rPr>
          <w:sz w:val="20"/>
          <w:szCs w:val="20"/>
        </w:rPr>
        <w:t>e "Company") purchased certain tangible and intangible assets (the "Assets") including goodwill and rights under certain contracts, from Integrated Marketing Agency, Inc., a California Corporation ("IMA").</w:t>
      </w:r>
    </w:p>
    <w:p w:rsidR="00000000" w:rsidRDefault="00B95558">
      <w:pPr>
        <w:pStyle w:val="NormalWeb"/>
      </w:pPr>
      <w:r>
        <w:rPr>
          <w:sz w:val="20"/>
          <w:szCs w:val="20"/>
        </w:rPr>
        <w:t>Pursuant to an employment agreement dated March 09</w:t>
      </w:r>
      <w:r>
        <w:rPr>
          <w:sz w:val="20"/>
          <w:szCs w:val="20"/>
        </w:rPr>
        <w:t xml:space="preserve">, 1998 between the Company and John </w:t>
      </w:r>
      <w:proofErr w:type="spellStart"/>
      <w:r>
        <w:rPr>
          <w:sz w:val="20"/>
          <w:szCs w:val="20"/>
        </w:rPr>
        <w:t>Teuber</w:t>
      </w:r>
      <w:proofErr w:type="spellEnd"/>
      <w:r>
        <w:rPr>
          <w:sz w:val="20"/>
          <w:szCs w:val="20"/>
        </w:rPr>
        <w:t xml:space="preserve"> ("Employment Agreement"), on September 04, 1998 the Company terminated John </w:t>
      </w:r>
      <w:proofErr w:type="spellStart"/>
      <w:r>
        <w:rPr>
          <w:sz w:val="20"/>
          <w:szCs w:val="20"/>
        </w:rPr>
        <w:t>Teuber</w:t>
      </w:r>
      <w:proofErr w:type="spellEnd"/>
      <w:r>
        <w:rPr>
          <w:sz w:val="20"/>
          <w:szCs w:val="20"/>
        </w:rPr>
        <w:t xml:space="preserve"> for cause without relinquishing any of its rights or remedies. </w:t>
      </w:r>
    </w:p>
    <w:p w:rsidR="00000000" w:rsidRDefault="00B95558">
      <w:pPr>
        <w:pStyle w:val="NormalWeb"/>
      </w:pPr>
      <w:r>
        <w:rPr>
          <w:sz w:val="20"/>
          <w:szCs w:val="20"/>
        </w:rPr>
        <w:t>Pursuant to the Note, the Purchase Agreement, and the Security Agr</w:t>
      </w:r>
      <w:r>
        <w:rPr>
          <w:sz w:val="20"/>
          <w:szCs w:val="20"/>
        </w:rPr>
        <w:t>eement between the Company and ("IMA"), the Company on September 04, 1998 exercised its right of "Set Off" of the Note, as defined therein due to IMA's breach of numerous representations, warranties and covenants contained in the Note and certain ancillary</w:t>
      </w:r>
      <w:r>
        <w:rPr>
          <w:sz w:val="20"/>
          <w:szCs w:val="20"/>
        </w:rPr>
        <w:t xml:space="preserve"> documents. The Company further reserved any and all rights and remedies available to it under the Note, Purchase Agreement and Security Agreement. </w:t>
      </w:r>
    </w:p>
    <w:p w:rsidR="00000000" w:rsidRDefault="00B95558">
      <w:pPr>
        <w:pStyle w:val="NormalWeb"/>
      </w:pPr>
      <w:r>
        <w:rPr>
          <w:sz w:val="20"/>
          <w:szCs w:val="20"/>
        </w:rPr>
        <w:t xml:space="preserve">The Company entered into a two year employment agreement ("NAG Agreement" as contained in Exhibit I of the </w:t>
      </w:r>
      <w:r>
        <w:rPr>
          <w:sz w:val="20"/>
          <w:szCs w:val="20"/>
        </w:rPr>
        <w:t>registrants SEC Form 10-K for the period ending June 30, 1998) with Nancy Gaylord on March 13, 1998. On September 18, 1998, Nancy Gaylord terminated her employment with the Company. The NAG Agreement had no provision for this termination. The Company enter</w:t>
      </w:r>
      <w:r>
        <w:rPr>
          <w:sz w:val="20"/>
          <w:szCs w:val="20"/>
        </w:rPr>
        <w:t>ed into a lease agreement as contained in Exhibit I of the registrants SEC Form 10-QSB for the period ending December 31, 1998 with America-United Enterprises Inc. on October 01, 1998 and took possession of 4,700 sf. of premises on November 06</w:t>
      </w:r>
      <w:proofErr w:type="gramStart"/>
      <w:r>
        <w:rPr>
          <w:sz w:val="20"/>
          <w:szCs w:val="20"/>
        </w:rPr>
        <w:t>,1998</w:t>
      </w:r>
      <w:proofErr w:type="gramEnd"/>
      <w:r>
        <w:rPr>
          <w:sz w:val="20"/>
          <w:szCs w:val="20"/>
        </w:rPr>
        <w:t xml:space="preserve"> in Sant</w:t>
      </w:r>
      <w:r>
        <w:rPr>
          <w:sz w:val="20"/>
          <w:szCs w:val="20"/>
        </w:rPr>
        <w:t xml:space="preserve">a Clarita for its CA location. Currently, this is the only California location of the Company. </w:t>
      </w:r>
    </w:p>
    <w:p w:rsidR="00000000" w:rsidRDefault="00B95558">
      <w:pPr>
        <w:pStyle w:val="NormalWeb"/>
      </w:pPr>
      <w:r>
        <w:rPr>
          <w:sz w:val="20"/>
          <w:szCs w:val="20"/>
        </w:rPr>
        <w:t xml:space="preserve">On December 9, 1998 the company delivered to IMA, "Notification to Indemnifying Party and Demand for Indemnification for $2,251,266." Pursuant to the Note, the </w:t>
      </w:r>
      <w:r>
        <w:rPr>
          <w:sz w:val="20"/>
          <w:szCs w:val="20"/>
        </w:rPr>
        <w:t>Purchase Agreement, the Security Agreement, and the Employment Agreement (collectively the "Agreements"), the Company demanded that IMA pay $2,251,266 or defend the Company against the Liabilities (as defined therein) due to, among other things, IMA's brea</w:t>
      </w:r>
      <w:r>
        <w:rPr>
          <w:sz w:val="20"/>
          <w:szCs w:val="20"/>
        </w:rPr>
        <w:t xml:space="preserve">ch, representations, warranties, and violation of the Agreements. </w:t>
      </w:r>
    </w:p>
    <w:p w:rsidR="009D695C" w:rsidRDefault="00B95558">
      <w:pPr>
        <w:pStyle w:val="NormalWeb"/>
        <w:rPr>
          <w:sz w:val="20"/>
          <w:szCs w:val="20"/>
        </w:rPr>
      </w:pPr>
      <w:r>
        <w:rPr>
          <w:sz w:val="20"/>
          <w:szCs w:val="20"/>
        </w:rPr>
        <w:t xml:space="preserve">On January 29, 1999, pursuant to the Purchase Agreement of 1/28/99, Advanced Oxygen Technologies, Inc. ("AOXY") purchased 1,670,000 shares of convertible preferred stock of Advanced Oxygen </w:t>
      </w:r>
      <w:r>
        <w:rPr>
          <w:sz w:val="20"/>
          <w:szCs w:val="20"/>
        </w:rPr>
        <w:t>Technologies, Inc. ("STOCK") and a $550,000 promissory note issued by Advanced Oxygen Technologies, Inc. ("Note") from Integrated Marketing Agency, Inc. ("IMA"). The terms of the Purchase Agreement were: AOXY paid $15,000 to IMA, assumed a Citicorp Compute</w:t>
      </w:r>
      <w:r>
        <w:rPr>
          <w:sz w:val="20"/>
          <w:szCs w:val="20"/>
        </w:rPr>
        <w:t xml:space="preserve">r Equipment Lease, #010-0031648-001 from IMA, delivered to IMA certain tangible business property (as listed in Exhibit A of the Purchase Agreement), executed a one year $5,000 promissory note with IMA, and delivered to IMA a Request For Dismissal of case </w:t>
      </w:r>
      <w:r>
        <w:rPr>
          <w:sz w:val="20"/>
          <w:szCs w:val="20"/>
        </w:rPr>
        <w:t xml:space="preserve">#PS003684 (restraining order) filed in Los Angeles county superior court. </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71" style="width:0;height:3pt" o:hralign="center" o:hrstd="t" o:hrnoshade="t" o:hr="t" fillcolor="black" stroked="f"/>
        </w:pict>
      </w:r>
    </w:p>
    <w:p w:rsidR="00000000" w:rsidRDefault="00B95558">
      <w:pPr>
        <w:pStyle w:val="NormalWeb"/>
      </w:pPr>
      <w:r>
        <w:rPr>
          <w:sz w:val="20"/>
          <w:szCs w:val="20"/>
        </w:rPr>
        <w:lastRenderedPageBreak/>
        <w:t>IMA sold, transferred, and delivered to AOXY the Stock and the Note. IMA sold, transferred, assigned and delivered the Note and the Stock to AOXY, executed documents with Citicorp Le</w:t>
      </w:r>
      <w:r>
        <w:rPr>
          <w:sz w:val="20"/>
          <w:szCs w:val="20"/>
        </w:rPr>
        <w:t>asing, Inc. to effectuate an express assumption by AOXY of the obligation under lease #010-0031648-001 in the amount of $44,811.26, executed a UCC2 filing releasing UCC-1 filing #9807560696 filed by IMA on March 13, 1998, and delivered such documents as re</w:t>
      </w:r>
      <w:r>
        <w:rPr>
          <w:sz w:val="20"/>
          <w:szCs w:val="20"/>
        </w:rPr>
        <w:t xml:space="preserve">quired. In addition, both IMA and AOXY provided mutual liability releases for the other. </w:t>
      </w:r>
    </w:p>
    <w:p w:rsidR="00000000" w:rsidRDefault="00B95558">
      <w:pPr>
        <w:pStyle w:val="NormalWeb"/>
      </w:pPr>
      <w:r>
        <w:rPr>
          <w:sz w:val="20"/>
          <w:szCs w:val="20"/>
        </w:rPr>
        <w:t>On April 18, 2000, notice was given that the Board of Directors and persons owning 64.7%, or 19,180,500 shares of common stock of Advanced Oxygen Technologies, Inc. h</w:t>
      </w:r>
      <w:r>
        <w:rPr>
          <w:sz w:val="20"/>
          <w:szCs w:val="20"/>
        </w:rPr>
        <w:t>ave elected to adopt the following proposals: 1. To amend and restate the Company's Restated Articles of Incorporation to increase the Company's authorized Common Shares from 30,000,000 to 90,000,000 shares, 2. The Board of Directors has approved an amendm</w:t>
      </w:r>
      <w:r>
        <w:rPr>
          <w:sz w:val="20"/>
          <w:szCs w:val="20"/>
        </w:rPr>
        <w:t>ent to the Company s Certificate of Incorporation to change the name of the Company to AOXY, Inc. The Company s current name was adopted in 1985 when the Company was focused on applications of its technology which it has since disposed of or otherwise aban</w:t>
      </w:r>
      <w:r>
        <w:rPr>
          <w:sz w:val="20"/>
          <w:szCs w:val="20"/>
        </w:rPr>
        <w:t xml:space="preserve">doned. The Board of Directors believes it would be more appropriate for the Company to utilize a </w:t>
      </w:r>
    </w:p>
    <w:p w:rsidR="00000000" w:rsidRDefault="00B95558">
      <w:pPr>
        <w:pStyle w:val="NormalWeb"/>
      </w:pPr>
      <w:proofErr w:type="gramStart"/>
      <w:r>
        <w:rPr>
          <w:sz w:val="20"/>
          <w:szCs w:val="20"/>
        </w:rPr>
        <w:t>corporate</w:t>
      </w:r>
      <w:proofErr w:type="gramEnd"/>
      <w:r>
        <w:rPr>
          <w:sz w:val="20"/>
          <w:szCs w:val="20"/>
        </w:rPr>
        <w:t xml:space="preserve"> name which more accurately describes the current focus of the Company or is not misleading as to the Company s operations. The above amendments to t</w:t>
      </w:r>
      <w:r>
        <w:rPr>
          <w:sz w:val="20"/>
          <w:szCs w:val="20"/>
        </w:rPr>
        <w:t>he Certificate of Incorporation will be filed with the Secretary of State of the State of Delaware, and the Name Change will become effective as of 5:00 p.m. Eastern Time, on the date of such filing.</w:t>
      </w:r>
    </w:p>
    <w:p w:rsidR="00000000" w:rsidRDefault="00B95558">
      <w:pPr>
        <w:pStyle w:val="NormalWeb"/>
      </w:pPr>
      <w:r>
        <w:rPr>
          <w:sz w:val="20"/>
          <w:szCs w:val="20"/>
        </w:rPr>
        <w:t>On December 31, 2000, AOXY entered into an agreement wit</w:t>
      </w:r>
      <w:r>
        <w:rPr>
          <w:sz w:val="20"/>
          <w:szCs w:val="20"/>
        </w:rPr>
        <w:t>h Eastern Star, ltd, and Baldwin Construction Co (the "Purchasers") whereby</w:t>
      </w:r>
      <w:proofErr w:type="gramStart"/>
      <w:r>
        <w:rPr>
          <w:sz w:val="20"/>
          <w:szCs w:val="20"/>
        </w:rPr>
        <w:t>  the</w:t>
      </w:r>
      <w:proofErr w:type="gramEnd"/>
      <w:r>
        <w:rPr>
          <w:sz w:val="20"/>
          <w:szCs w:val="20"/>
        </w:rPr>
        <w:t xml:space="preserve"> Purchasers will buy three million shares of capital stock of AOXY for one hundred and twenty five thousand dollars pursuant to a purchase agreement ("Purchase Agreement"). The</w:t>
      </w:r>
      <w:r>
        <w:rPr>
          <w:sz w:val="20"/>
          <w:szCs w:val="20"/>
        </w:rPr>
        <w:t xml:space="preserve"> Company has concluded the issuance and delivery of the shares pursuant to the Purchase Agreement. In addition, the Company received a request from Ann </w:t>
      </w:r>
      <w:proofErr w:type="spellStart"/>
      <w:r>
        <w:rPr>
          <w:sz w:val="20"/>
          <w:szCs w:val="20"/>
        </w:rPr>
        <w:t>Sejeroe</w:t>
      </w:r>
      <w:proofErr w:type="spellEnd"/>
      <w:r>
        <w:rPr>
          <w:sz w:val="20"/>
          <w:szCs w:val="20"/>
        </w:rPr>
        <w:t xml:space="preserve"> for a conversion of her 1 Preferred Share number P 0002 issued April 16, 1998, and in accordance</w:t>
      </w:r>
      <w:r>
        <w:rPr>
          <w:sz w:val="20"/>
          <w:szCs w:val="20"/>
        </w:rPr>
        <w:t xml:space="preserve"> with the restrictions, terms and conditions, as evidenced on the reverse side of the share certificate, the Company issued 333,333 shares bearing a restrictive legend.</w:t>
      </w:r>
    </w:p>
    <w:p w:rsidR="00000000" w:rsidRDefault="00B95558">
      <w:pPr>
        <w:pStyle w:val="NormalWeb"/>
      </w:pPr>
      <w:r>
        <w:rPr>
          <w:sz w:val="20"/>
          <w:szCs w:val="20"/>
        </w:rPr>
        <w:t>The Company had a location in Santa Clarita, CA for operations. In 2000 the Comp</w:t>
      </w:r>
      <w:r>
        <w:rPr>
          <w:sz w:val="20"/>
          <w:szCs w:val="20"/>
        </w:rPr>
        <w:t>any had abandoned this facility and equipment and maintained no staff other than the sole officer of the Company. Currently, the sole officer of the Company allows the Company to maintain its books, records and operations at its office.</w:t>
      </w:r>
    </w:p>
    <w:p w:rsidR="00000000" w:rsidRDefault="00B95558">
      <w:pPr>
        <w:pStyle w:val="NormalWeb"/>
      </w:pPr>
      <w:r>
        <w:rPr>
          <w:sz w:val="20"/>
          <w:szCs w:val="20"/>
        </w:rPr>
        <w:t>On February 14, 200</w:t>
      </w:r>
      <w:r>
        <w:rPr>
          <w:sz w:val="20"/>
          <w:szCs w:val="20"/>
        </w:rPr>
        <w:t xml:space="preserve">2 the Company gave notice of the change of the Company's location, and location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w:t>
      </w:r>
      <w:r>
        <w:rPr>
          <w:sz w:val="20"/>
          <w:szCs w:val="20"/>
        </w:rPr>
        <w:t>, Inc. 133 W 13th Street, Suite #5, New York, NY 10011, Telephone (212)-727-7085, Fax (208)-439-5488. This location is collocated with a related business of the president, Robert E. Wolfe.</w:t>
      </w:r>
    </w:p>
    <w:p w:rsidR="00000000" w:rsidRDefault="00B95558">
      <w:pPr>
        <w:pStyle w:val="NormalWeb"/>
      </w:pPr>
      <w:r>
        <w:rPr>
          <w:sz w:val="20"/>
          <w:szCs w:val="20"/>
        </w:rPr>
        <w:t>The Company maintained a database ("Database") of business contacts</w:t>
      </w:r>
      <w:r>
        <w:rPr>
          <w:sz w:val="20"/>
          <w:szCs w:val="20"/>
        </w:rPr>
        <w:t xml:space="preserve"> that have participated in conference events. The Database was obtained through acquisition and the Company's activities of marketing events and producing CD-ROMS for clients. AOXY had a database management contract with Dun and Bradstreet, ("DB") and Walt</w:t>
      </w:r>
      <w:r>
        <w:rPr>
          <w:sz w:val="20"/>
          <w:szCs w:val="20"/>
        </w:rPr>
        <w:t xml:space="preserve">er Karl, Inc., a division of </w:t>
      </w:r>
      <w:proofErr w:type="spellStart"/>
      <w:r>
        <w:rPr>
          <w:sz w:val="20"/>
          <w:szCs w:val="20"/>
        </w:rPr>
        <w:t>InfoUSA</w:t>
      </w:r>
      <w:proofErr w:type="spellEnd"/>
      <w:r>
        <w:rPr>
          <w:sz w:val="20"/>
          <w:szCs w:val="20"/>
        </w:rPr>
        <w:t>, Inc. ("WK") whereby, Walter Karl, Inc. will broker the Company's Database. Walter Karl's function was to market and rent the data contained in the Database. This was available in one of two formats: on a one time basis</w:t>
      </w:r>
      <w:r>
        <w:rPr>
          <w:sz w:val="20"/>
          <w:szCs w:val="20"/>
        </w:rPr>
        <w:t>, or a 'database' basis whereby the customer will commit to a minimum number of contact names. The majority of the customers using the Database through WK were direct business to business marketers. WK received a fee for each sale. During the year ending J</w:t>
      </w:r>
      <w:r>
        <w:rPr>
          <w:sz w:val="20"/>
          <w:szCs w:val="20"/>
        </w:rPr>
        <w:t>une 30, 2002 Walter Karl was the Company s only source of revenue. During this period, Walter Karl was the Company s only customer. At the same time AOXY had an agreement with Dun and Bradstreet whereby DB would update, correct, append, and offer deletions</w:t>
      </w:r>
      <w:r>
        <w:rPr>
          <w:sz w:val="20"/>
          <w:szCs w:val="20"/>
        </w:rPr>
        <w:t xml:space="preserve"> to the Database. DB would evaluate the Database each time, and had the option to purchase contacts on a case by case as they saw fit, in which case AOXY would receive a fee. Correspondingly, should AOXY, rent, sell or otherwise profit from registered DB i</w:t>
      </w:r>
      <w:r>
        <w:rPr>
          <w:sz w:val="20"/>
          <w:szCs w:val="20"/>
        </w:rPr>
        <w:t>nformation, AOXY would pay a fee to DB.</w:t>
      </w:r>
      <w:r>
        <w:rPr>
          <w:sz w:val="20"/>
          <w:szCs w:val="20"/>
        </w:rPr>
        <w:br/>
      </w:r>
      <w:r>
        <w:rPr>
          <w:sz w:val="20"/>
          <w:szCs w:val="20"/>
        </w:rPr>
        <w:br/>
        <w:t xml:space="preserve">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w:t>
      </w:r>
      <w:r>
        <w:rPr>
          <w:sz w:val="20"/>
          <w:szCs w:val="20"/>
        </w:rPr>
        <w:t xml:space="preserve">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w:t>
      </w:r>
      <w:r>
        <w:rPr>
          <w:sz w:val="20"/>
          <w:szCs w:val="20"/>
        </w:rPr>
        <w:t xml:space="preserve">in the IT sector. During this period, Kurt has developed as a business entrepreneur, building and selling an IT business. Lawrence </w:t>
      </w:r>
      <w:proofErr w:type="spellStart"/>
      <w:r>
        <w:rPr>
          <w:sz w:val="20"/>
          <w:szCs w:val="20"/>
        </w:rPr>
        <w:t>Donofrio</w:t>
      </w:r>
      <w:proofErr w:type="spellEnd"/>
      <w:r>
        <w:rPr>
          <w:sz w:val="20"/>
          <w:szCs w:val="20"/>
        </w:rPr>
        <w:t xml:space="preserve"> graduated from Hamilton College with a BA in English studies. He then worked at Citibank for three years as a financ</w:t>
      </w:r>
      <w:r>
        <w:rPr>
          <w:sz w:val="20"/>
          <w:szCs w:val="20"/>
        </w:rPr>
        <w:t>ial analyst, and five years as a private financial consultant. He then took a position with Bankers Trust for two years and since 1982 has been a private consultant in the financial industry.</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73" style="width:0;height:3pt" o:hralign="center" o:hrstd="t" o:hrnoshade="t" o:hr="t" fillcolor="black" stroked="f"/>
        </w:pict>
      </w:r>
    </w:p>
    <w:p w:rsidR="009D695C" w:rsidRDefault="009D695C">
      <w:pPr>
        <w:pStyle w:val="NormalWeb"/>
        <w:rPr>
          <w:sz w:val="20"/>
          <w:szCs w:val="20"/>
        </w:rPr>
      </w:pPr>
    </w:p>
    <w:p w:rsidR="00000000" w:rsidRDefault="00B95558">
      <w:pPr>
        <w:pStyle w:val="NormalWeb"/>
      </w:pPr>
      <w:r>
        <w:rPr>
          <w:sz w:val="20"/>
          <w:szCs w:val="20"/>
        </w:rPr>
        <w:lastRenderedPageBreak/>
        <w:t>Pursuant to a stock acquisition on March 05, 2003 Advanced Oxyge</w:t>
      </w:r>
      <w:r>
        <w:rPr>
          <w:sz w:val="20"/>
          <w:szCs w:val="20"/>
        </w:rPr>
        <w:t xml:space="preserve">n Technologies, Inc. (AOXY or the Buyer) purchased 100% of the issued and outstanding stock of IP Services, </w:t>
      </w:r>
      <w:proofErr w:type="spellStart"/>
      <w:r>
        <w:rPr>
          <w:sz w:val="20"/>
          <w:szCs w:val="20"/>
        </w:rPr>
        <w:t>ApS</w:t>
      </w:r>
      <w:proofErr w:type="spellEnd"/>
      <w:r>
        <w:rPr>
          <w:sz w:val="20"/>
          <w:szCs w:val="20"/>
        </w:rPr>
        <w:t xml:space="preserve"> (IP or the Company) from all of its owners (the Shareholders) for value of five hundred thousand dollars (Purchase Price). AOXY issued fourteen </w:t>
      </w:r>
      <w:r>
        <w:rPr>
          <w:sz w:val="20"/>
          <w:szCs w:val="20"/>
        </w:rPr>
        <w:t>million shares of common stock and one share of preferred convertible stock to the Shareholders for payment and consideration of the Purchase Price. Concurrently, pursuant to an Employment Agreement on March 05, 2003 AOXY entered into an agreement with Kur</w:t>
      </w:r>
      <w:r>
        <w:rPr>
          <w:sz w:val="20"/>
          <w:szCs w:val="20"/>
        </w:rPr>
        <w:t xml:space="preserve">d </w:t>
      </w:r>
      <w:proofErr w:type="spellStart"/>
      <w:r>
        <w:rPr>
          <w:sz w:val="20"/>
          <w:szCs w:val="20"/>
        </w:rPr>
        <w:t>Sondergaard</w:t>
      </w:r>
      <w:proofErr w:type="spellEnd"/>
      <w:r>
        <w:rPr>
          <w:sz w:val="20"/>
          <w:szCs w:val="20"/>
        </w:rPr>
        <w:t xml:space="preserve"> (Employee). The Employee will be employed by AOXY for four years and will perform duties of president of IP, and AOXY and the Shareholders entered into a covenant of non competition agreement whereby the Shareholders agreed not to compete wit</w:t>
      </w:r>
      <w:r>
        <w:rPr>
          <w:sz w:val="20"/>
          <w:szCs w:val="20"/>
        </w:rPr>
        <w:t>h IP for a period of five years.</w:t>
      </w:r>
    </w:p>
    <w:p w:rsidR="00000000" w:rsidRDefault="00B95558">
      <w:pPr>
        <w:pStyle w:val="NormalWeb"/>
      </w:pPr>
      <w:r>
        <w:rPr>
          <w:sz w:val="20"/>
          <w:szCs w:val="20"/>
        </w:rPr>
        <w:t xml:space="preserve">Pursuant to a stock acquisition agreement, on February 3, 2006 Advanced Oxygen Technologies, Inc. ("AOXY")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w:t>
      </w:r>
      <w:r>
        <w:rPr>
          <w:sz w:val="20"/>
          <w:szCs w:val="20"/>
        </w:rPr>
        <w:t>(a previous shareholder of AOXY) for Six Hundred and Fifty Thousand US Dollars. ANV owns commercial real estate and produces rental income.</w:t>
      </w:r>
      <w:r>
        <w:rPr>
          <w:sz w:val="20"/>
          <w:szCs w:val="20"/>
        </w:rPr>
        <w:br/>
      </w:r>
      <w:r>
        <w:rPr>
          <w:sz w:val="20"/>
          <w:szCs w:val="20"/>
        </w:rPr>
        <w:br/>
        <w:t xml:space="preserve">On August 1, 2006, the Company was notified by </w:t>
      </w:r>
      <w:proofErr w:type="spellStart"/>
      <w:r>
        <w:rPr>
          <w:sz w:val="20"/>
          <w:szCs w:val="20"/>
        </w:rPr>
        <w:t>Bernstien</w:t>
      </w:r>
      <w:proofErr w:type="spellEnd"/>
      <w:r>
        <w:rPr>
          <w:sz w:val="20"/>
          <w:szCs w:val="20"/>
        </w:rPr>
        <w:t xml:space="preserve"> &amp; </w:t>
      </w:r>
      <w:proofErr w:type="spellStart"/>
      <w:r>
        <w:rPr>
          <w:sz w:val="20"/>
          <w:szCs w:val="20"/>
        </w:rPr>
        <w:t>Pinchuk</w:t>
      </w:r>
      <w:proofErr w:type="spellEnd"/>
      <w:r>
        <w:rPr>
          <w:sz w:val="20"/>
          <w:szCs w:val="20"/>
        </w:rPr>
        <w:t xml:space="preserve"> LLP that they had resigned as the Company's inde</w:t>
      </w:r>
      <w:r>
        <w:rPr>
          <w:sz w:val="20"/>
          <w:szCs w:val="20"/>
        </w:rPr>
        <w:t xml:space="preserve">pendent auditors. On September 12, 2006 the Company engaged </w:t>
      </w:r>
      <w:proofErr w:type="spellStart"/>
      <w:r>
        <w:rPr>
          <w:sz w:val="20"/>
          <w:szCs w:val="20"/>
        </w:rPr>
        <w:t>Horwath</w:t>
      </w:r>
      <w:proofErr w:type="spellEnd"/>
      <w:r>
        <w:rPr>
          <w:sz w:val="20"/>
          <w:szCs w:val="20"/>
        </w:rPr>
        <w:t xml:space="preserve"> </w:t>
      </w:r>
      <w:proofErr w:type="spellStart"/>
      <w:r>
        <w:rPr>
          <w:sz w:val="20"/>
          <w:szCs w:val="20"/>
        </w:rPr>
        <w:t>Revisorenrne</w:t>
      </w:r>
      <w:proofErr w:type="spellEnd"/>
      <w:r>
        <w:rPr>
          <w:sz w:val="20"/>
          <w:szCs w:val="20"/>
        </w:rPr>
        <w:t xml:space="preserve">, AS </w:t>
      </w:r>
      <w:proofErr w:type="spellStart"/>
      <w:r>
        <w:rPr>
          <w:sz w:val="20"/>
          <w:szCs w:val="20"/>
        </w:rPr>
        <w:t>Strandvejen</w:t>
      </w:r>
      <w:proofErr w:type="spellEnd"/>
      <w:r>
        <w:rPr>
          <w:sz w:val="20"/>
          <w:szCs w:val="20"/>
        </w:rPr>
        <w:t xml:space="preserve"> 58, </w:t>
      </w:r>
      <w:proofErr w:type="spellStart"/>
      <w:r>
        <w:rPr>
          <w:sz w:val="20"/>
          <w:szCs w:val="20"/>
        </w:rPr>
        <w:t>Hellerup</w:t>
      </w:r>
      <w:proofErr w:type="spellEnd"/>
      <w:r>
        <w:rPr>
          <w:sz w:val="20"/>
          <w:szCs w:val="20"/>
        </w:rPr>
        <w:t>, Denmark as its certified independent accounting firm/outside auditor.</w:t>
      </w:r>
    </w:p>
    <w:p w:rsidR="00000000" w:rsidRDefault="00B95558">
      <w:pPr>
        <w:pStyle w:val="NormalWeb"/>
      </w:pPr>
      <w:r>
        <w:rPr>
          <w:sz w:val="20"/>
          <w:szCs w:val="20"/>
        </w:rPr>
        <w:t>On September 1, 2006 the Company sold its minority position of 20% of Mobi</w:t>
      </w:r>
      <w:r>
        <w:rPr>
          <w:sz w:val="20"/>
          <w:szCs w:val="20"/>
        </w:rPr>
        <w:t xml:space="preserve">le Group Inc. to KBA Holding </w:t>
      </w:r>
      <w:proofErr w:type="spellStart"/>
      <w:r>
        <w:rPr>
          <w:sz w:val="20"/>
          <w:szCs w:val="20"/>
        </w:rPr>
        <w:t>ApS</w:t>
      </w:r>
      <w:proofErr w:type="spellEnd"/>
      <w:r>
        <w:rPr>
          <w:sz w:val="20"/>
          <w:szCs w:val="20"/>
        </w:rPr>
        <w:t xml:space="preserve"> for one dollar.</w:t>
      </w:r>
    </w:p>
    <w:p w:rsidR="00000000" w:rsidRDefault="00B95558">
      <w:pPr>
        <w:pStyle w:val="NormalWeb"/>
      </w:pPr>
      <w:r>
        <w:rPr>
          <w:sz w:val="20"/>
          <w:szCs w:val="20"/>
        </w:rPr>
        <w:t>On January 17 2007, the Company's location, and location of books and records has changed from Advanced Oxygen Technologies, Inc. C/O Crossfield Inc. 133 West 13th St. Suite #5 New York, NY 10011 ("Old Locat</w:t>
      </w:r>
      <w:r>
        <w:rPr>
          <w:sz w:val="20"/>
          <w:szCs w:val="20"/>
        </w:rPr>
        <w:t>ion") to Advanced Oxygen Technologies, Inc. c/o Crossfield, Inc. 100 Maiden Lane, Suite 2003, New York, NY 10038, Telephone (212)-727-7085, Fax (208)-439-5488. This location is collocated with a related business of the president, Robert E. Wolfe.</w:t>
      </w:r>
    </w:p>
    <w:p w:rsidR="00000000" w:rsidRDefault="00B95558">
      <w:pPr>
        <w:pStyle w:val="NormalWeb"/>
      </w:pPr>
      <w:r>
        <w:rPr>
          <w:sz w:val="20"/>
          <w:szCs w:val="20"/>
        </w:rPr>
        <w:t>On March 5 2009, the Company's location, and location of books and records has changed from Advanced Oxygen Technologies, Inc. C/O 100 Maiden Lane, Suit</w:t>
      </w:r>
      <w:r>
        <w:rPr>
          <w:sz w:val="20"/>
          <w:szCs w:val="20"/>
        </w:rPr>
        <w:t xml:space="preserve">e 2003 New York, NY 10038 ("Old Location") to Advanced Oxygen Technologies, Inc. c/o Crossfield, Inc. 653 VT Route 12A, PO Box 189, Randolph VT 05060, Telephone (212)-727-7085, Fax (802)-332-6100. This location is collocated with a related business of the </w:t>
      </w:r>
      <w:r>
        <w:rPr>
          <w:sz w:val="20"/>
          <w:szCs w:val="20"/>
        </w:rPr>
        <w:t>president, Robert E. Wolfe.</w:t>
      </w:r>
    </w:p>
    <w:p w:rsidR="00000000" w:rsidRDefault="00B95558">
      <w:pPr>
        <w:pStyle w:val="NormalWeb"/>
      </w:pPr>
      <w:r>
        <w:rPr>
          <w:sz w:val="20"/>
          <w:szCs w:val="20"/>
        </w:rPr>
        <w:t xml:space="preserve">On March 04,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(“Accountants”) that the Accountants have resigned as the Company’s independent auditors. The Accountant’s audit reports on the Company’s consolidated fina</w:t>
      </w:r>
      <w:r>
        <w:rPr>
          <w:sz w:val="20"/>
          <w:szCs w:val="20"/>
        </w:rPr>
        <w:t>ncial statements for the fiscal years ended June 30, 2009 and 2010 did not contain an adverse opinion or a disclaimer of opinion and were not qualified or modified as to uncertainty, audit scope or accounting principles. During the Company’s fiscal years e</w:t>
      </w:r>
      <w:r>
        <w:rPr>
          <w:sz w:val="20"/>
          <w:szCs w:val="20"/>
        </w:rPr>
        <w:t>nded June 30, 2009 and 2010 and the subsequent interim period preceding the date of Accountant’s resignation, there were no “disagreements,” as that term is defined in Item 304(a) of Regulation S-K and the instructions related thereto, with the Accountants</w:t>
      </w:r>
      <w:r>
        <w:rPr>
          <w:sz w:val="20"/>
          <w:szCs w:val="20"/>
        </w:rPr>
        <w:t xml:space="preserve"> on any matter of accounting principles or practices, financial statement disclosure or auditing scope or procedures, which disagreement(s), if not resolved to the satisfaction of the Accountants, would have caused the Accountants to make reference to the </w:t>
      </w:r>
      <w:r>
        <w:rPr>
          <w:sz w:val="20"/>
          <w:szCs w:val="20"/>
        </w:rPr>
        <w:t>subject matter of the disagreement(s) in connection with its report. During the Company’s fiscal years ended June 30, 2009 and 2010 and the subsequent interim period preceding the date of Accountant’s resignation, there were no “reportable events,” as that</w:t>
      </w:r>
      <w:r>
        <w:rPr>
          <w:sz w:val="20"/>
          <w:szCs w:val="20"/>
        </w:rPr>
        <w:t xml:space="preserve"> term is defined in Item 304(a)(1)(v) of Regulation S-K and the instructions related thereto. The Company has provided the Accountants with a copy of the disclosures set forth above in Item 4.01 of this Current Report on Form 8-K and has requested that the</w:t>
      </w:r>
      <w:r>
        <w:rPr>
          <w:sz w:val="20"/>
          <w:szCs w:val="20"/>
        </w:rPr>
        <w:t xml:space="preserve"> Accountants furnish the Company with a letter addressed to the Securities and Exchange Commission stating whether the Accountants agree with the statements set forth above in Item 4.01 of this Current Report on Form 8-K and, if not, stating the respects i</w:t>
      </w:r>
      <w:r>
        <w:rPr>
          <w:sz w:val="20"/>
          <w:szCs w:val="20"/>
        </w:rPr>
        <w:t>n which the Accountants do not agree. A copy of the letter from the Accountants to the Securities and Exchange Commission dated March 04, 2011 is filed as Exhibit II to this Current Report on Form 8-K.</w:t>
      </w:r>
    </w:p>
    <w:p w:rsidR="00000000" w:rsidRDefault="00B95558">
      <w:pPr>
        <w:pStyle w:val="NormalWeb"/>
      </w:pPr>
      <w:r>
        <w:rPr>
          <w:sz w:val="20"/>
          <w:szCs w:val="20"/>
        </w:rPr>
        <w:t>On March 04, 2011 the Company has engaged Chr. Morten</w:t>
      </w:r>
      <w:r>
        <w:rPr>
          <w:sz w:val="20"/>
          <w:szCs w:val="20"/>
        </w:rPr>
        <w:t xml:space="preserve">sen - </w:t>
      </w:r>
      <w:proofErr w:type="spellStart"/>
      <w:r>
        <w:rPr>
          <w:sz w:val="20"/>
          <w:szCs w:val="20"/>
        </w:rPr>
        <w:t>Revisionsfirma</w:t>
      </w:r>
      <w:proofErr w:type="spellEnd"/>
      <w:r>
        <w:rPr>
          <w:sz w:val="20"/>
          <w:szCs w:val="20"/>
        </w:rPr>
        <w:t xml:space="preserve">, </w:t>
      </w:r>
      <w:proofErr w:type="spellStart"/>
      <w:r>
        <w:rPr>
          <w:sz w:val="20"/>
          <w:szCs w:val="20"/>
        </w:rPr>
        <w:t>statsautoriseret</w:t>
      </w:r>
      <w:proofErr w:type="spellEnd"/>
      <w:r>
        <w:rPr>
          <w:sz w:val="20"/>
          <w:szCs w:val="20"/>
        </w:rPr>
        <w:t xml:space="preserve"> </w:t>
      </w:r>
      <w:proofErr w:type="spellStart"/>
      <w:r>
        <w:rPr>
          <w:sz w:val="20"/>
          <w:szCs w:val="20"/>
        </w:rPr>
        <w:t>revisionsinteressentskab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Telephone +45 3373 4600 ("New Accountants") as its certified accounting firm/outside auditor. Additionally, the Company had not consulted the New Accoun</w:t>
      </w:r>
      <w:r>
        <w:rPr>
          <w:sz w:val="20"/>
          <w:szCs w:val="20"/>
        </w:rPr>
        <w:t>tants regarding: (</w:t>
      </w:r>
      <w:proofErr w:type="spellStart"/>
      <w:r>
        <w:rPr>
          <w:sz w:val="20"/>
          <w:szCs w:val="20"/>
        </w:rPr>
        <w:t>i</w:t>
      </w:r>
      <w:proofErr w:type="spellEnd"/>
      <w:r>
        <w:rPr>
          <w:sz w:val="20"/>
          <w:szCs w:val="20"/>
        </w:rPr>
        <w:t>) The application of accounting principles to a specific completed or contemplated transaction, or the type of audit opinion that might be rendered on the small business issuer’s financial statements and either written or oral advice was</w:t>
      </w:r>
      <w:r>
        <w:rPr>
          <w:sz w:val="20"/>
          <w:szCs w:val="20"/>
        </w:rPr>
        <w:t xml:space="preserve"> provided that was an important factor considered by the small business issuer in reaching a decision as to the accounting, auditing or financial reporting issue; or (ii) any matter that was the subject of a disagreement or event identified in response to </w:t>
      </w:r>
      <w:r>
        <w:rPr>
          <w:sz w:val="20"/>
          <w:szCs w:val="20"/>
        </w:rPr>
        <w:t>paragraph (a)(1)(iv) of Regulation S-B section §228.304 (Item 304).</w:t>
      </w:r>
    </w:p>
    <w:p w:rsidR="00000000" w:rsidRDefault="00B95558">
      <w:pPr>
        <w:pStyle w:val="NormalWeb"/>
      </w:pPr>
      <w:proofErr w:type="gramStart"/>
      <w:r>
        <w:rPr>
          <w:b/>
          <w:bCs/>
          <w:sz w:val="20"/>
          <w:szCs w:val="20"/>
        </w:rPr>
        <w:t>ITEM 3.</w:t>
      </w:r>
      <w:proofErr w:type="gramEnd"/>
      <w:r>
        <w:rPr>
          <w:b/>
          <w:bCs/>
          <w:sz w:val="20"/>
          <w:szCs w:val="20"/>
        </w:rPr>
        <w:t xml:space="preserve"> Quantitative and Qualitative Disclosures </w:t>
      </w:r>
      <w:proofErr w:type="gramStart"/>
      <w:r>
        <w:rPr>
          <w:b/>
          <w:bCs/>
          <w:sz w:val="20"/>
          <w:szCs w:val="20"/>
        </w:rPr>
        <w:t>About</w:t>
      </w:r>
      <w:proofErr w:type="gramEnd"/>
      <w:r>
        <w:rPr>
          <w:b/>
          <w:bCs/>
          <w:sz w:val="20"/>
          <w:szCs w:val="20"/>
        </w:rPr>
        <w:t xml:space="preserve"> Market Risk:</w:t>
      </w:r>
    </w:p>
    <w:p w:rsidR="00000000" w:rsidRDefault="00B95558">
      <w:pPr>
        <w:pStyle w:val="NormalWeb"/>
      </w:pPr>
      <w:r>
        <w:rPr>
          <w:sz w:val="20"/>
          <w:szCs w:val="20"/>
        </w:rPr>
        <w:t>Smaller reporting companies are not required to provide the information required by this Item.</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75" style="width:0;height:3pt" o:hralign="center" o:hrstd="t" o:hrnoshade="t" o:hr="t" fillcolor="black" stroked="f"/>
        </w:pict>
      </w:r>
    </w:p>
    <w:p w:rsidR="009D695C" w:rsidRDefault="009D695C">
      <w:pPr>
        <w:pStyle w:val="NormalWeb"/>
        <w:spacing w:after="240" w:afterAutospacing="0"/>
        <w:rPr>
          <w:b/>
          <w:bCs/>
          <w:sz w:val="20"/>
          <w:szCs w:val="20"/>
        </w:rPr>
      </w:pPr>
    </w:p>
    <w:p w:rsidR="00000000" w:rsidRDefault="00B95558">
      <w:pPr>
        <w:pStyle w:val="NormalWeb"/>
        <w:spacing w:after="240" w:afterAutospacing="0"/>
      </w:pPr>
      <w:proofErr w:type="gramStart"/>
      <w:r>
        <w:rPr>
          <w:b/>
          <w:bCs/>
          <w:sz w:val="20"/>
          <w:szCs w:val="20"/>
        </w:rPr>
        <w:lastRenderedPageBreak/>
        <w:t>ITEM 4.</w:t>
      </w:r>
      <w:proofErr w:type="gramEnd"/>
      <w:r>
        <w:rPr>
          <w:b/>
          <w:bCs/>
          <w:sz w:val="20"/>
          <w:szCs w:val="20"/>
        </w:rPr>
        <w:t xml:space="preserve"> CONTROLS AND PR</w:t>
      </w:r>
      <w:r>
        <w:rPr>
          <w:b/>
          <w:bCs/>
          <w:sz w:val="20"/>
          <w:szCs w:val="20"/>
        </w:rPr>
        <w:t>OCEDURES</w:t>
      </w:r>
    </w:p>
    <w:p w:rsidR="00000000" w:rsidRDefault="00B95558">
      <w:pPr>
        <w:pStyle w:val="NormalWeb"/>
      </w:pPr>
      <w:r>
        <w:rPr>
          <w:sz w:val="20"/>
          <w:szCs w:val="20"/>
        </w:rPr>
        <w:t>EVALUATION OF DISCLOSURE CONTROLS AND PROCEDURES</w:t>
      </w:r>
    </w:p>
    <w:p w:rsidR="00000000" w:rsidRDefault="00B95558">
      <w:pPr>
        <w:pStyle w:val="NormalWeb"/>
      </w:pPr>
      <w:r>
        <w:rPr>
          <w:sz w:val="20"/>
          <w:szCs w:val="20"/>
        </w:rPr>
        <w:t xml:space="preserve">We conducted an evaluation under the supervision and with the participation of our management, including our Chief Executive Officer who is also our Chief Financial Officer, of the effectiveness </w:t>
      </w:r>
      <w:r>
        <w:rPr>
          <w:sz w:val="20"/>
          <w:szCs w:val="20"/>
        </w:rPr>
        <w:t>of the design and operation of our disclosure controls and procedures. The term “disclosure controls and procedures,” as defined in Rules 13a-15(e) and 15d-15(e) under the Securities and Exchange Act of 1934, as amended (“Exchange Act”), means controls and</w:t>
      </w:r>
      <w:r>
        <w:rPr>
          <w:sz w:val="20"/>
          <w:szCs w:val="20"/>
        </w:rPr>
        <w:t xml:space="preserve"> other procedures of a company that are designed to ensure that information required to be disclosed by the company in the reports it files or submits under the Exchange Act is recorded, processed, summarized and reported, within the time periods specified</w:t>
      </w:r>
      <w:r>
        <w:rPr>
          <w:sz w:val="20"/>
          <w:szCs w:val="20"/>
        </w:rPr>
        <w:t xml:space="preserve"> in the Securities and Exchange Commission’s rules and forms. Disclosure controls and procedures also include, without limitation, controls and procedures designed to ensure that information required to be disclosed by a company in the reports that it file</w:t>
      </w:r>
      <w:r>
        <w:rPr>
          <w:sz w:val="20"/>
          <w:szCs w:val="20"/>
        </w:rPr>
        <w:t>s or submits under the Exchange Act is accumulated and communicated to the company’s management, including its principal executive and principal financial officers, or persons performing similar functions, as appropriate, to allow timely decisions regardin</w:t>
      </w:r>
      <w:r>
        <w:rPr>
          <w:sz w:val="20"/>
          <w:szCs w:val="20"/>
        </w:rPr>
        <w:t xml:space="preserve">g required disclosure. Based on this evaluation, our Chief Executive Officer and Acting Chief Financial Officer concluded as of December 31, 2012 that our disclosure controls and procedures were effective at ensuring that the material information required </w:t>
      </w:r>
      <w:r>
        <w:rPr>
          <w:sz w:val="20"/>
          <w:szCs w:val="20"/>
        </w:rPr>
        <w:t>to be disclosed in the Exchange Act reports is recorded, processed, summarized and reported as required in applicable SEC rules and forms.</w:t>
      </w:r>
    </w:p>
    <w:p w:rsidR="00000000" w:rsidRDefault="00B95558">
      <w:pPr>
        <w:pStyle w:val="NormalWeb"/>
      </w:pPr>
      <w:r>
        <w:rPr>
          <w:sz w:val="20"/>
          <w:szCs w:val="20"/>
        </w:rPr>
        <w:t>During the quarter ended December 31</w:t>
      </w:r>
      <w:r>
        <w:rPr>
          <w:sz w:val="20"/>
          <w:szCs w:val="20"/>
        </w:rPr>
        <w:t xml:space="preserve">, 2012, there were no changes in our internal control over financial reporting identified in connection with management’s evaluation of the effectiveness of our internal control over the financial reporting that have materially affected, or are reasonably </w:t>
      </w:r>
      <w:r>
        <w:rPr>
          <w:sz w:val="20"/>
          <w:szCs w:val="20"/>
        </w:rPr>
        <w:t>likely to materially affect, our internal control over financial reporting as defined in Rules 13a-15(f) and 15d-15(f) under the Exchange Act.</w:t>
      </w:r>
    </w:p>
    <w:p w:rsidR="00000000" w:rsidRDefault="00B95558">
      <w:pPr>
        <w:rPr>
          <w:rFonts w:eastAsia="Times New Roman"/>
        </w:rPr>
      </w:pPr>
      <w:r>
        <w:rPr>
          <w:rFonts w:eastAsia="Times New Roman"/>
          <w:b/>
          <w:bCs/>
          <w:sz w:val="20"/>
          <w:szCs w:val="20"/>
        </w:rPr>
        <w:t xml:space="preserve">PART II </w:t>
      </w:r>
    </w:p>
    <w:p w:rsidR="00000000" w:rsidRDefault="00B95558">
      <w:pPr>
        <w:pStyle w:val="NormalWeb"/>
      </w:pPr>
      <w:r>
        <w:rPr>
          <w:b/>
          <w:bCs/>
          <w:sz w:val="20"/>
          <w:szCs w:val="20"/>
        </w:rPr>
        <w:t>ITEM 1: LEGAL PROCEEDINGS</w:t>
      </w:r>
    </w:p>
    <w:p w:rsidR="00000000" w:rsidRDefault="00B95558">
      <w:pPr>
        <w:pStyle w:val="NormalWeb"/>
      </w:pPr>
      <w:r>
        <w:rPr>
          <w:sz w:val="20"/>
          <w:szCs w:val="20"/>
        </w:rPr>
        <w:t>None</w:t>
      </w:r>
      <w:r>
        <w:rPr>
          <w:sz w:val="20"/>
          <w:szCs w:val="20"/>
        </w:rPr>
        <w:br/>
      </w:r>
      <w:r>
        <w:rPr>
          <w:sz w:val="20"/>
          <w:szCs w:val="20"/>
        </w:rPr>
        <w:br/>
      </w:r>
      <w:r>
        <w:rPr>
          <w:b/>
          <w:bCs/>
          <w:sz w:val="20"/>
          <w:szCs w:val="20"/>
        </w:rPr>
        <w:t>ITEM 2. UNREGISTERED SALES OF EQUITY SECURITIES AND USE OF PROCEEDS</w:t>
      </w:r>
    </w:p>
    <w:p w:rsidR="00000000" w:rsidRDefault="00B95558">
      <w:pPr>
        <w:pStyle w:val="NormalWeb"/>
      </w:pPr>
      <w:r>
        <w:rPr>
          <w:sz w:val="20"/>
          <w:szCs w:val="20"/>
        </w:rPr>
        <w:t>No</w:t>
      </w:r>
      <w:r>
        <w:rPr>
          <w:sz w:val="20"/>
          <w:szCs w:val="20"/>
        </w:rPr>
        <w:t>ne</w:t>
      </w:r>
      <w:r>
        <w:rPr>
          <w:sz w:val="20"/>
          <w:szCs w:val="20"/>
        </w:rPr>
        <w:br/>
      </w:r>
      <w:r>
        <w:rPr>
          <w:sz w:val="20"/>
          <w:szCs w:val="20"/>
        </w:rPr>
        <w:br/>
      </w:r>
      <w:r>
        <w:rPr>
          <w:b/>
          <w:bCs/>
          <w:sz w:val="20"/>
          <w:szCs w:val="20"/>
        </w:rPr>
        <w:t>ITEM 3. DEFAULTS UPON SENIOR SECURITIES</w:t>
      </w:r>
    </w:p>
    <w:p w:rsidR="00000000" w:rsidRDefault="00B95558">
      <w:pPr>
        <w:pStyle w:val="NormalWeb"/>
      </w:pPr>
      <w:r>
        <w:rPr>
          <w:sz w:val="20"/>
          <w:szCs w:val="20"/>
        </w:rPr>
        <w:t>None</w:t>
      </w:r>
    </w:p>
    <w:p w:rsidR="00000000" w:rsidRDefault="00B95558">
      <w:pPr>
        <w:pStyle w:val="NormalWeb"/>
      </w:pPr>
      <w:proofErr w:type="gramStart"/>
      <w:r>
        <w:rPr>
          <w:b/>
          <w:bCs/>
          <w:sz w:val="20"/>
          <w:szCs w:val="20"/>
        </w:rPr>
        <w:t>ITEM 4.</w:t>
      </w:r>
      <w:proofErr w:type="gramEnd"/>
      <w:r>
        <w:rPr>
          <w:b/>
          <w:bCs/>
          <w:sz w:val="20"/>
          <w:szCs w:val="20"/>
        </w:rPr>
        <w:t xml:space="preserve"> SUBMISSION OF MATTERS TO A VOTE OF SECURITY HOLDERS</w:t>
      </w:r>
    </w:p>
    <w:p w:rsidR="00000000" w:rsidRDefault="00B95558">
      <w:pPr>
        <w:pStyle w:val="NormalWeb"/>
      </w:pPr>
      <w:r>
        <w:rPr>
          <w:sz w:val="20"/>
          <w:szCs w:val="20"/>
        </w:rPr>
        <w:t>None</w:t>
      </w:r>
    </w:p>
    <w:p w:rsidR="00000000" w:rsidRDefault="00B95558">
      <w:pPr>
        <w:pStyle w:val="NormalWeb"/>
      </w:pPr>
      <w:proofErr w:type="gramStart"/>
      <w:r>
        <w:rPr>
          <w:b/>
          <w:bCs/>
          <w:sz w:val="20"/>
          <w:szCs w:val="20"/>
        </w:rPr>
        <w:t>ITEM 5.</w:t>
      </w:r>
      <w:proofErr w:type="gramEnd"/>
      <w:r>
        <w:rPr>
          <w:b/>
          <w:bCs/>
          <w:sz w:val="20"/>
          <w:szCs w:val="20"/>
        </w:rPr>
        <w:t xml:space="preserve"> OTHER INFORMATION</w:t>
      </w:r>
    </w:p>
    <w:p w:rsidR="00000000" w:rsidRDefault="00B95558">
      <w:pPr>
        <w:pStyle w:val="NormalWeb"/>
      </w:pPr>
      <w:r>
        <w:rPr>
          <w:sz w:val="20"/>
          <w:szCs w:val="20"/>
        </w:rPr>
        <w:t>None</w:t>
      </w:r>
    </w:p>
    <w:p w:rsidR="00000000" w:rsidRDefault="00B95558">
      <w:pPr>
        <w:pStyle w:val="NormalWeb"/>
      </w:pPr>
      <w:r>
        <w:rPr>
          <w:b/>
          <w:bCs/>
          <w:sz w:val="20"/>
          <w:szCs w:val="20"/>
        </w:rPr>
        <w:t>ITEM 6: EXHIBITS AND REPORTS ON FORM 8-K</w:t>
      </w:r>
    </w:p>
    <w:p w:rsidR="00000000" w:rsidRDefault="00B95558">
      <w:pPr>
        <w:pStyle w:val="NormalWeb"/>
      </w:pPr>
      <w:r>
        <w:rPr>
          <w:sz w:val="20"/>
          <w:szCs w:val="20"/>
        </w:rPr>
        <w:t>During the 3 month period ending Decemb</w:t>
      </w:r>
      <w:r>
        <w:rPr>
          <w:sz w:val="20"/>
          <w:szCs w:val="20"/>
        </w:rPr>
        <w:t>er 31, 2012, the Company filed no reports on Form 8-K.</w:t>
      </w:r>
    </w:p>
    <w:p w:rsidR="00000000" w:rsidRDefault="00B95558">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9D695C" w:rsidRDefault="009D695C" w:rsidP="009D695C">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9D695C" w:rsidRDefault="009D695C" w:rsidP="009D695C">
      <w:pPr>
        <w:rPr>
          <w:rFonts w:eastAsia="Times New Roman"/>
          <w:sz w:val="20"/>
          <w:szCs w:val="20"/>
        </w:rPr>
      </w:pPr>
      <w:r>
        <w:rPr>
          <w:rFonts w:eastAsia="Times New Roman"/>
          <w:sz w:val="20"/>
          <w:szCs w:val="20"/>
        </w:rPr>
        <w:pict>
          <v:rect id="_x0000_i1077" style="width:0;height:3pt" o:hralign="center" o:hrstd="t" o:hrnoshade="t" o:hr="t" fillcolor="black" stroked="f"/>
        </w:pict>
      </w:r>
    </w:p>
    <w:p w:rsidR="00000000" w:rsidRDefault="00B95558">
      <w:pPr>
        <w:pStyle w:val="NormalWeb"/>
      </w:pPr>
      <w:r>
        <w:rPr>
          <w:b/>
          <w:bCs/>
          <w:sz w:val="20"/>
          <w:szCs w:val="20"/>
        </w:rPr>
        <w:lastRenderedPageBreak/>
        <w:t>EXHIBIT 99.906CERT (B</w:t>
      </w:r>
      <w:proofErr w:type="gramStart"/>
      <w:r>
        <w:rPr>
          <w:b/>
          <w:bCs/>
          <w:sz w:val="20"/>
          <w:szCs w:val="20"/>
        </w:rPr>
        <w:t>)</w:t>
      </w:r>
      <w:proofErr w:type="gramEnd"/>
      <w:r>
        <w:rPr>
          <w:b/>
          <w:bCs/>
          <w:sz w:val="20"/>
          <w:szCs w:val="20"/>
        </w:rPr>
        <w:br/>
      </w:r>
      <w:r>
        <w:rPr>
          <w:b/>
          <w:bCs/>
          <w:sz w:val="20"/>
          <w:szCs w:val="20"/>
        </w:rPr>
        <w:t>CERTIFICATION OF TREASURER</w:t>
      </w:r>
      <w:r>
        <w:rPr>
          <w:b/>
          <w:bCs/>
          <w:sz w:val="20"/>
          <w:szCs w:val="20"/>
        </w:rPr>
        <w:br/>
        <w:t>PURSUANT TO18 U.S.C. SECTION 1350, AS ADOPTED PURSUANT TO</w:t>
      </w:r>
      <w:r>
        <w:rPr>
          <w:b/>
          <w:bCs/>
          <w:sz w:val="20"/>
          <w:szCs w:val="20"/>
        </w:rPr>
        <w:br/>
        <w:t>SECTION 906 OF THE SARBANES-OXLEY ACT OF 2002</w:t>
      </w:r>
    </w:p>
    <w:p w:rsidR="00000000" w:rsidRDefault="00B95558">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B95558">
      <w:pPr>
        <w:pStyle w:val="NormalWeb"/>
      </w:pPr>
      <w:r>
        <w:rPr>
          <w:b/>
          <w:bCs/>
          <w:sz w:val="20"/>
          <w:szCs w:val="20"/>
        </w:rPr>
        <w:t>EXHIBIT 99.CERT (D</w:t>
      </w:r>
      <w:proofErr w:type="gramStart"/>
      <w:r>
        <w:rPr>
          <w:b/>
          <w:bCs/>
          <w:sz w:val="20"/>
          <w:szCs w:val="20"/>
        </w:rPr>
        <w:t>)</w:t>
      </w:r>
      <w:proofErr w:type="gramEnd"/>
      <w:r>
        <w:rPr>
          <w:b/>
          <w:bCs/>
          <w:sz w:val="20"/>
          <w:szCs w:val="20"/>
        </w:rPr>
        <w:br/>
        <w:t>CERTIFICATIO</w:t>
      </w:r>
      <w:r>
        <w:rPr>
          <w:b/>
          <w:bCs/>
          <w:sz w:val="20"/>
          <w:szCs w:val="20"/>
        </w:rPr>
        <w:t>N PURSUANT TO</w:t>
      </w:r>
      <w:r>
        <w:rPr>
          <w:b/>
          <w:bCs/>
          <w:sz w:val="20"/>
          <w:szCs w:val="20"/>
        </w:rPr>
        <w:br/>
        <w:t>SECTION 302 OF THE SARBANES-OXLEY ACT OF 2002</w:t>
      </w:r>
    </w:p>
    <w:p w:rsidR="00000000" w:rsidRDefault="00B95558">
      <w:pPr>
        <w:pStyle w:val="NormalWeb"/>
      </w:pPr>
    </w:p>
    <w:p w:rsidR="00000000" w:rsidRDefault="00B95558">
      <w:pPr>
        <w:pStyle w:val="NormalWeb"/>
      </w:pPr>
      <w:r>
        <w:rPr>
          <w:sz w:val="20"/>
          <w:szCs w:val="20"/>
        </w:rPr>
        <w:t xml:space="preserve">SIGNATURE </w:t>
      </w:r>
    </w:p>
    <w:p w:rsidR="00000000" w:rsidRDefault="00B95558">
      <w:pPr>
        <w:pStyle w:val="NormalWeb"/>
      </w:pPr>
      <w:r>
        <w:rPr>
          <w:sz w:val="20"/>
          <w:szCs w:val="20"/>
        </w:rPr>
        <w:t xml:space="preserve">In accordance with the requirements of the Exchange Act, the Registrant has caused this report to be signed on its behalf by the undersigned, thereunto duly authorized. </w:t>
      </w:r>
    </w:p>
    <w:p w:rsidR="00000000" w:rsidRDefault="00B95558">
      <w:pPr>
        <w:pStyle w:val="NormalWeb"/>
      </w:pPr>
      <w:r>
        <w:rPr>
          <w:sz w:val="20"/>
          <w:szCs w:val="20"/>
        </w:rPr>
        <w:t>Date: Februar</w:t>
      </w:r>
      <w:r>
        <w:rPr>
          <w:sz w:val="20"/>
          <w:szCs w:val="20"/>
        </w:rPr>
        <w:t>y 6, 2013</w:t>
      </w:r>
    </w:p>
    <w:p w:rsidR="00000000" w:rsidRDefault="00B95558">
      <w:pPr>
        <w:pStyle w:val="NormalWeb"/>
      </w:pPr>
      <w:r>
        <w:rPr>
          <w:sz w:val="20"/>
          <w:szCs w:val="20"/>
        </w:rPr>
        <w:t> </w:t>
      </w:r>
    </w:p>
    <w:p w:rsidR="00000000" w:rsidRDefault="00B95558">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00000" w:rsidRDefault="00B95558">
      <w:pPr>
        <w:pStyle w:val="NormalWeb"/>
      </w:pPr>
      <w:r>
        <w:rPr>
          <w:sz w:val="20"/>
          <w:szCs w:val="20"/>
        </w:rPr>
        <w:t> </w:t>
      </w:r>
    </w:p>
    <w:sectPr w:rsidR="00000000" w:rsidSect="009D69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noPunctuationKerning/>
  <w:characterSpacingControl w:val="doNotCompress"/>
  <w:compat/>
  <w:rsids>
    <w:rsidRoot w:val="00B30F28"/>
    <w:rsid w:val="009D695C"/>
    <w:rsid w:val="00B30F28"/>
    <w:rsid w:val="00F8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1670930">
      <w:marLeft w:val="0"/>
      <w:marRight w:val="0"/>
      <w:marTop w:val="0"/>
      <w:marBottom w:val="0"/>
      <w:divBdr>
        <w:top w:val="none" w:sz="0" w:space="0" w:color="auto"/>
        <w:left w:val="none" w:sz="0" w:space="0" w:color="auto"/>
        <w:bottom w:val="none" w:sz="0" w:space="0" w:color="auto"/>
        <w:right w:val="none" w:sz="0" w:space="0" w:color="auto"/>
      </w:divBdr>
    </w:div>
    <w:div w:id="662052125">
      <w:marLeft w:val="0"/>
      <w:marRight w:val="0"/>
      <w:marTop w:val="0"/>
      <w:marBottom w:val="0"/>
      <w:divBdr>
        <w:top w:val="none" w:sz="0" w:space="0" w:color="auto"/>
        <w:left w:val="none" w:sz="0" w:space="0" w:color="auto"/>
        <w:bottom w:val="none" w:sz="0" w:space="0" w:color="auto"/>
        <w:right w:val="none" w:sz="0" w:space="0" w:color="auto"/>
      </w:divBdr>
    </w:div>
    <w:div w:id="693654042">
      <w:marLeft w:val="0"/>
      <w:marRight w:val="0"/>
      <w:marTop w:val="0"/>
      <w:marBottom w:val="0"/>
      <w:divBdr>
        <w:top w:val="none" w:sz="0" w:space="0" w:color="auto"/>
        <w:left w:val="none" w:sz="0" w:space="0" w:color="auto"/>
        <w:bottom w:val="none" w:sz="0" w:space="0" w:color="auto"/>
        <w:right w:val="none" w:sz="0" w:space="0" w:color="auto"/>
      </w:divBdr>
    </w:div>
    <w:div w:id="121827639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9861</Words>
  <Characters>55236</Characters>
  <Application>Microsoft Office Word</Application>
  <DocSecurity>0</DocSecurity>
  <Lines>460</Lines>
  <Paragraphs>129</Paragraphs>
  <ScaleCrop>false</ScaleCrop>
  <Company>Crossfield, Inc.</Company>
  <LinksUpToDate>false</LinksUpToDate>
  <CharactersWithSpaces>64968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2012 10Q</dc:title>
  <dc:subject/>
  <dc:creator>Robert Wolfe</dc:creator>
  <cp:keywords/>
  <dc:description/>
  <cp:lastModifiedBy>Robert Wolfe</cp:lastModifiedBy>
  <cp:revision>2</cp:revision>
  <cp:lastPrinted>2013-02-06T23:26:00Z</cp:lastPrinted>
  <dcterms:created xsi:type="dcterms:W3CDTF">2013-02-06T23:28:00Z</dcterms:created>
  <dcterms:modified xsi:type="dcterms:W3CDTF">2013-02-06T23:28:00Z</dcterms:modified>
</cp:coreProperties>
</file>